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7F01F" w14:textId="124599ED" w:rsidR="00EC07BA" w:rsidRPr="009818A2" w:rsidRDefault="00EC07BA" w:rsidP="009B699D">
      <w:pPr>
        <w:pStyle w:val="DefaultText1"/>
        <w:ind w:left="288" w:right="20"/>
        <w:jc w:val="both"/>
        <w:rPr>
          <w:b/>
          <w:szCs w:val="22"/>
          <w:u w:val="single"/>
        </w:rPr>
      </w:pPr>
      <w:r w:rsidRPr="009818A2">
        <w:rPr>
          <w:b/>
          <w:szCs w:val="22"/>
          <w:u w:val="single"/>
        </w:rPr>
        <w:t xml:space="preserve">BASEL III DISCLOSURES OF THE INDIA BRANCHES FOR THE YEAR ENDED </w:t>
      </w:r>
      <w:r w:rsidR="00B5774E" w:rsidRPr="009818A2">
        <w:rPr>
          <w:b/>
          <w:szCs w:val="22"/>
          <w:u w:val="single"/>
        </w:rPr>
        <w:t>31</w:t>
      </w:r>
      <w:r w:rsidR="00B5774E" w:rsidRPr="009818A2">
        <w:rPr>
          <w:b/>
          <w:szCs w:val="22"/>
          <w:u w:val="single"/>
          <w:lang w:val="en-US"/>
        </w:rPr>
        <w:t xml:space="preserve"> </w:t>
      </w:r>
      <w:r w:rsidRPr="009818A2">
        <w:rPr>
          <w:b/>
          <w:szCs w:val="22"/>
          <w:u w:val="single"/>
        </w:rPr>
        <w:t xml:space="preserve">MARCH, </w:t>
      </w:r>
      <w:r w:rsidR="009B4E07">
        <w:rPr>
          <w:b/>
          <w:szCs w:val="22"/>
          <w:u w:val="single"/>
        </w:rPr>
        <w:t>20</w:t>
      </w:r>
      <w:r w:rsidR="009B4E07">
        <w:rPr>
          <w:b/>
          <w:szCs w:val="22"/>
          <w:u w:val="single"/>
          <w:lang w:val="en-CA"/>
        </w:rPr>
        <w:t>2</w:t>
      </w:r>
      <w:r w:rsidR="006C2CF9">
        <w:rPr>
          <w:b/>
          <w:szCs w:val="22"/>
          <w:u w:val="single"/>
          <w:lang w:val="en-CA"/>
        </w:rPr>
        <w:t>1</w:t>
      </w:r>
      <w:r w:rsidRPr="009818A2">
        <w:rPr>
          <w:b/>
          <w:szCs w:val="22"/>
          <w:u w:val="single"/>
        </w:rPr>
        <w:t>.</w:t>
      </w:r>
    </w:p>
    <w:p w14:paraId="05F3A2AB" w14:textId="77777777" w:rsidR="00EC07BA" w:rsidRPr="00864BAD" w:rsidRDefault="00EC07BA" w:rsidP="00EC07BA">
      <w:pPr>
        <w:rPr>
          <w:sz w:val="24"/>
          <w:szCs w:val="22"/>
          <w:lang w:val="x-none"/>
        </w:rPr>
      </w:pPr>
    </w:p>
    <w:p w14:paraId="6EB41F95" w14:textId="77777777" w:rsidR="00EC07BA" w:rsidRPr="009818A2" w:rsidRDefault="00162A44" w:rsidP="00AF141A">
      <w:pPr>
        <w:numPr>
          <w:ilvl w:val="0"/>
          <w:numId w:val="7"/>
        </w:numPr>
        <w:tabs>
          <w:tab w:val="clear" w:pos="1800"/>
          <w:tab w:val="num" w:pos="720"/>
        </w:tabs>
        <w:overflowPunct/>
        <w:autoSpaceDE/>
        <w:autoSpaceDN/>
        <w:adjustRightInd/>
        <w:ind w:left="720" w:hanging="720"/>
        <w:textAlignment w:val="auto"/>
        <w:rPr>
          <w:b/>
          <w:sz w:val="24"/>
          <w:szCs w:val="22"/>
        </w:rPr>
      </w:pPr>
      <w:r w:rsidRPr="009818A2">
        <w:rPr>
          <w:b/>
          <w:sz w:val="24"/>
          <w:szCs w:val="22"/>
        </w:rPr>
        <w:t>DF -</w:t>
      </w:r>
      <w:proofErr w:type="gramStart"/>
      <w:r w:rsidRPr="009818A2">
        <w:rPr>
          <w:b/>
          <w:sz w:val="24"/>
          <w:szCs w:val="22"/>
        </w:rPr>
        <w:t>1 :</w:t>
      </w:r>
      <w:proofErr w:type="gramEnd"/>
      <w:r w:rsidRPr="009818A2">
        <w:rPr>
          <w:b/>
          <w:sz w:val="24"/>
          <w:szCs w:val="22"/>
        </w:rPr>
        <w:t xml:space="preserve"> </w:t>
      </w:r>
      <w:r w:rsidR="00EC07BA" w:rsidRPr="009818A2">
        <w:rPr>
          <w:b/>
          <w:sz w:val="24"/>
          <w:szCs w:val="22"/>
        </w:rPr>
        <w:t>Scope of Application</w:t>
      </w:r>
      <w:r w:rsidRPr="009818A2">
        <w:rPr>
          <w:b/>
          <w:sz w:val="24"/>
          <w:szCs w:val="22"/>
        </w:rPr>
        <w:t xml:space="preserve"> </w:t>
      </w:r>
    </w:p>
    <w:p w14:paraId="0F2C9071" w14:textId="77777777" w:rsidR="00EC07BA" w:rsidRPr="009818A2" w:rsidRDefault="00EC07BA" w:rsidP="00EC07BA">
      <w:pPr>
        <w:pStyle w:val="Heading5"/>
        <w:ind w:firstLine="720"/>
        <w:rPr>
          <w:sz w:val="24"/>
          <w:szCs w:val="22"/>
        </w:rPr>
      </w:pPr>
      <w:r w:rsidRPr="009818A2">
        <w:rPr>
          <w:sz w:val="24"/>
          <w:szCs w:val="22"/>
        </w:rPr>
        <w:t>Qualitative Disclosures</w:t>
      </w:r>
    </w:p>
    <w:p w14:paraId="3BADF586" w14:textId="77777777" w:rsidR="00EC07BA" w:rsidRPr="009818A2" w:rsidRDefault="00EC07BA" w:rsidP="00EC07BA">
      <w:pPr>
        <w:ind w:left="720"/>
        <w:jc w:val="both"/>
        <w:rPr>
          <w:sz w:val="24"/>
          <w:szCs w:val="22"/>
        </w:rPr>
      </w:pPr>
      <w:r w:rsidRPr="009818A2">
        <w:rPr>
          <w:sz w:val="24"/>
          <w:szCs w:val="22"/>
        </w:rPr>
        <w:t>The new capital adequacy framework applies to The Bank of Nova Scotia, India Branches</w:t>
      </w:r>
      <w:r w:rsidR="00757C07" w:rsidRPr="009818A2">
        <w:rPr>
          <w:sz w:val="24"/>
          <w:szCs w:val="22"/>
        </w:rPr>
        <w:t xml:space="preserve"> (‘The Bank’)</w:t>
      </w:r>
      <w:r w:rsidRPr="009818A2">
        <w:rPr>
          <w:sz w:val="24"/>
          <w:szCs w:val="22"/>
        </w:rPr>
        <w:t>.</w:t>
      </w:r>
    </w:p>
    <w:p w14:paraId="6E2F2F7E" w14:textId="7597D696" w:rsidR="00EC07BA" w:rsidRDefault="00EC07BA" w:rsidP="00EC07BA">
      <w:pPr>
        <w:ind w:left="720"/>
        <w:jc w:val="both"/>
        <w:rPr>
          <w:sz w:val="24"/>
          <w:szCs w:val="22"/>
        </w:rPr>
      </w:pPr>
      <w:r w:rsidRPr="009818A2">
        <w:rPr>
          <w:sz w:val="24"/>
          <w:szCs w:val="22"/>
        </w:rPr>
        <w:t>The risk management framework of Indian operations is integrated with the Bank’s strategy and business planning processes at global level. The Bank has comprehensive risk management framework to monitor, evaluate and manage the principal risks assumed in conducting its activities. The risk management function in India is as per directives and framework set out at Head Office level using a committee structure as outlined below:</w:t>
      </w:r>
    </w:p>
    <w:p w14:paraId="5D101EEB" w14:textId="663A0B37" w:rsidR="005566C0" w:rsidRDefault="005566C0" w:rsidP="00EC07BA">
      <w:pPr>
        <w:ind w:left="720"/>
        <w:jc w:val="both"/>
        <w:rPr>
          <w:sz w:val="24"/>
          <w:szCs w:val="22"/>
        </w:rPr>
      </w:pPr>
    </w:p>
    <w:p w14:paraId="5BCD1F5C" w14:textId="551DB52C" w:rsidR="005566C0" w:rsidRPr="009818A2" w:rsidRDefault="005566C0" w:rsidP="00EC07BA">
      <w:pPr>
        <w:ind w:left="720"/>
        <w:jc w:val="both"/>
        <w:rPr>
          <w:sz w:val="24"/>
          <w:szCs w:val="22"/>
        </w:rPr>
      </w:pPr>
      <w:r>
        <w:rPr>
          <w:noProof/>
          <w:lang w:val="en-IN"/>
        </w:rPr>
        <w:drawing>
          <wp:inline distT="0" distB="0" distL="0" distR="0" wp14:anchorId="7975A72D" wp14:editId="26B6FD3C">
            <wp:extent cx="5882005" cy="2676525"/>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82005" cy="2676525"/>
                    </a:xfrm>
                    <a:prstGeom prst="rect">
                      <a:avLst/>
                    </a:prstGeom>
                    <a:noFill/>
                    <a:ln>
                      <a:noFill/>
                    </a:ln>
                  </pic:spPr>
                </pic:pic>
              </a:graphicData>
            </a:graphic>
          </wp:inline>
        </w:drawing>
      </w:r>
    </w:p>
    <w:p w14:paraId="5124B88A" w14:textId="77777777" w:rsidR="005A035A" w:rsidRPr="001D70E9" w:rsidRDefault="005A035A" w:rsidP="00EC07BA">
      <w:pPr>
        <w:ind w:left="720"/>
        <w:jc w:val="both"/>
        <w:rPr>
          <w:sz w:val="22"/>
          <w:szCs w:val="22"/>
        </w:rPr>
      </w:pPr>
    </w:p>
    <w:p w14:paraId="1B6D46AD" w14:textId="100B033A" w:rsidR="00EC07BA" w:rsidRDefault="00EC07BA" w:rsidP="00EC07BA">
      <w:pPr>
        <w:ind w:left="630"/>
        <w:rPr>
          <w:sz w:val="22"/>
          <w:szCs w:val="22"/>
        </w:rPr>
      </w:pPr>
    </w:p>
    <w:p w14:paraId="0A55E24A" w14:textId="77777777" w:rsidR="005A035A" w:rsidRPr="001D70E9" w:rsidRDefault="005A035A" w:rsidP="00EC07BA">
      <w:pPr>
        <w:ind w:left="630"/>
        <w:rPr>
          <w:sz w:val="22"/>
          <w:szCs w:val="22"/>
        </w:rPr>
      </w:pPr>
    </w:p>
    <w:p w14:paraId="243E6D9C" w14:textId="132EC1DD" w:rsidR="00EC07BA" w:rsidRPr="009818A2" w:rsidRDefault="00EC07BA" w:rsidP="00EC07BA">
      <w:pPr>
        <w:ind w:left="720"/>
        <w:jc w:val="both"/>
        <w:rPr>
          <w:sz w:val="24"/>
          <w:szCs w:val="22"/>
        </w:rPr>
      </w:pPr>
      <w:r w:rsidRPr="009818A2">
        <w:rPr>
          <w:sz w:val="24"/>
          <w:szCs w:val="22"/>
        </w:rPr>
        <w:t>As at 31</w:t>
      </w:r>
      <w:r w:rsidR="00977291" w:rsidRPr="009818A2">
        <w:rPr>
          <w:sz w:val="24"/>
          <w:szCs w:val="22"/>
        </w:rPr>
        <w:t xml:space="preserve"> March</w:t>
      </w:r>
      <w:r w:rsidRPr="009818A2">
        <w:rPr>
          <w:sz w:val="24"/>
          <w:szCs w:val="22"/>
        </w:rPr>
        <w:t xml:space="preserve"> </w:t>
      </w:r>
      <w:r w:rsidR="006C2CF9">
        <w:rPr>
          <w:sz w:val="24"/>
          <w:szCs w:val="22"/>
        </w:rPr>
        <w:t>2021</w:t>
      </w:r>
      <w:r w:rsidRPr="009818A2">
        <w:rPr>
          <w:sz w:val="24"/>
          <w:szCs w:val="22"/>
        </w:rPr>
        <w:t>, the Bank does not have any investment in subsidiaries/Joint Venture</w:t>
      </w:r>
      <w:r w:rsidR="00E03DF9" w:rsidRPr="009818A2">
        <w:rPr>
          <w:sz w:val="24"/>
          <w:szCs w:val="22"/>
        </w:rPr>
        <w:t>s and Associates.</w:t>
      </w:r>
    </w:p>
    <w:p w14:paraId="09FFC068" w14:textId="77777777" w:rsidR="00EC07BA" w:rsidRPr="009818A2" w:rsidRDefault="00EC07BA" w:rsidP="00EC07BA">
      <w:pPr>
        <w:rPr>
          <w:sz w:val="24"/>
          <w:szCs w:val="22"/>
        </w:rPr>
      </w:pPr>
    </w:p>
    <w:p w14:paraId="33851B3E" w14:textId="77777777" w:rsidR="00EC07BA" w:rsidRPr="009818A2" w:rsidRDefault="00EC07BA" w:rsidP="00AF141A">
      <w:pPr>
        <w:numPr>
          <w:ilvl w:val="0"/>
          <w:numId w:val="7"/>
        </w:numPr>
        <w:tabs>
          <w:tab w:val="clear" w:pos="1800"/>
          <w:tab w:val="num" w:pos="720"/>
        </w:tabs>
        <w:overflowPunct/>
        <w:autoSpaceDE/>
        <w:autoSpaceDN/>
        <w:adjustRightInd/>
        <w:ind w:left="720" w:hanging="720"/>
        <w:textAlignment w:val="auto"/>
        <w:rPr>
          <w:b/>
          <w:sz w:val="24"/>
          <w:szCs w:val="22"/>
        </w:rPr>
      </w:pPr>
      <w:r w:rsidRPr="009818A2">
        <w:rPr>
          <w:b/>
          <w:sz w:val="24"/>
          <w:szCs w:val="22"/>
        </w:rPr>
        <w:t>Capital Structure:</w:t>
      </w:r>
    </w:p>
    <w:p w14:paraId="1472DB9D" w14:textId="77777777" w:rsidR="00EC07BA" w:rsidRPr="009818A2" w:rsidRDefault="00EC07BA" w:rsidP="00EC07BA">
      <w:pPr>
        <w:ind w:firstLine="720"/>
        <w:rPr>
          <w:rStyle w:val="CommentReference"/>
          <w:b/>
          <w:sz w:val="24"/>
          <w:szCs w:val="22"/>
        </w:rPr>
      </w:pPr>
      <w:r w:rsidRPr="009818A2">
        <w:rPr>
          <w:rStyle w:val="CommentReference"/>
          <w:b/>
          <w:sz w:val="24"/>
          <w:szCs w:val="22"/>
        </w:rPr>
        <w:t xml:space="preserve">Qualitative Disclosures </w:t>
      </w:r>
    </w:p>
    <w:p w14:paraId="155FD175" w14:textId="77777777" w:rsidR="00EC07BA" w:rsidRPr="009818A2" w:rsidRDefault="00EC07BA" w:rsidP="00EC07BA">
      <w:pPr>
        <w:ind w:left="720"/>
        <w:jc w:val="both"/>
        <w:rPr>
          <w:sz w:val="24"/>
          <w:szCs w:val="22"/>
        </w:rPr>
      </w:pPr>
      <w:r w:rsidRPr="009818A2">
        <w:rPr>
          <w:sz w:val="24"/>
          <w:szCs w:val="22"/>
        </w:rPr>
        <w:t>Bank regulatory capital consists of two components – Tier 1 capital and Tier 2 capital. Both components of capital provide support for banking operations and protect depositors. As per Reserve Bank of India (RBI) guidelines, the composition of capital instruments for foreign banks in India would include the following elements:</w:t>
      </w:r>
    </w:p>
    <w:p w14:paraId="36A78765" w14:textId="77777777" w:rsidR="005A035A" w:rsidRDefault="005A035A" w:rsidP="00EC07BA">
      <w:pPr>
        <w:ind w:left="720"/>
        <w:jc w:val="both"/>
        <w:rPr>
          <w:sz w:val="24"/>
          <w:szCs w:val="22"/>
        </w:rPr>
      </w:pPr>
    </w:p>
    <w:p w14:paraId="66B45423" w14:textId="09BD1A53" w:rsidR="00EC07BA" w:rsidRPr="009818A2" w:rsidRDefault="00EC07BA" w:rsidP="00EC07BA">
      <w:pPr>
        <w:ind w:left="720"/>
        <w:jc w:val="both"/>
        <w:rPr>
          <w:sz w:val="24"/>
          <w:szCs w:val="22"/>
        </w:rPr>
      </w:pPr>
      <w:r w:rsidRPr="009818A2">
        <w:rPr>
          <w:sz w:val="24"/>
          <w:szCs w:val="22"/>
        </w:rPr>
        <w:t>Tier 1 Capital:</w:t>
      </w:r>
    </w:p>
    <w:p w14:paraId="2F0CB8A7" w14:textId="77777777" w:rsidR="00EC07BA" w:rsidRPr="009818A2" w:rsidRDefault="00EC07BA" w:rsidP="00AF141A">
      <w:pPr>
        <w:widowControl w:val="0"/>
        <w:numPr>
          <w:ilvl w:val="0"/>
          <w:numId w:val="1"/>
        </w:numPr>
        <w:overflowPunct/>
        <w:jc w:val="both"/>
        <w:rPr>
          <w:sz w:val="24"/>
          <w:szCs w:val="22"/>
        </w:rPr>
      </w:pPr>
      <w:r w:rsidRPr="009818A2">
        <w:rPr>
          <w:sz w:val="24"/>
          <w:szCs w:val="22"/>
        </w:rPr>
        <w:t>Interest-free funds received from Head Office</w:t>
      </w:r>
    </w:p>
    <w:p w14:paraId="1614B4C3" w14:textId="77777777" w:rsidR="00EC07BA" w:rsidRPr="009818A2" w:rsidRDefault="00EC07BA" w:rsidP="00AF141A">
      <w:pPr>
        <w:widowControl w:val="0"/>
        <w:numPr>
          <w:ilvl w:val="0"/>
          <w:numId w:val="1"/>
        </w:numPr>
        <w:overflowPunct/>
        <w:jc w:val="both"/>
        <w:rPr>
          <w:sz w:val="24"/>
          <w:szCs w:val="22"/>
        </w:rPr>
      </w:pPr>
      <w:r w:rsidRPr="009818A2">
        <w:rPr>
          <w:sz w:val="24"/>
          <w:szCs w:val="22"/>
        </w:rPr>
        <w:t>Statutory reserves kept in Indian books</w:t>
      </w:r>
    </w:p>
    <w:p w14:paraId="33676B5E" w14:textId="77777777" w:rsidR="00EC07BA" w:rsidRPr="009818A2" w:rsidRDefault="00EC07BA" w:rsidP="00AF141A">
      <w:pPr>
        <w:widowControl w:val="0"/>
        <w:numPr>
          <w:ilvl w:val="0"/>
          <w:numId w:val="1"/>
        </w:numPr>
        <w:overflowPunct/>
        <w:jc w:val="both"/>
        <w:rPr>
          <w:sz w:val="24"/>
          <w:szCs w:val="22"/>
        </w:rPr>
      </w:pPr>
      <w:proofErr w:type="spellStart"/>
      <w:r w:rsidRPr="009818A2">
        <w:rPr>
          <w:sz w:val="24"/>
          <w:szCs w:val="22"/>
        </w:rPr>
        <w:t>Remittable</w:t>
      </w:r>
      <w:proofErr w:type="spellEnd"/>
      <w:r w:rsidRPr="009818A2">
        <w:rPr>
          <w:sz w:val="24"/>
          <w:szCs w:val="22"/>
        </w:rPr>
        <w:t xml:space="preserve"> surplus retained in Indian books which is not repatriable so long as the bank functions in India</w:t>
      </w:r>
    </w:p>
    <w:p w14:paraId="218EB66A" w14:textId="77777777" w:rsidR="00EC07BA" w:rsidRPr="009818A2" w:rsidRDefault="00EC07BA" w:rsidP="00AF141A">
      <w:pPr>
        <w:widowControl w:val="0"/>
        <w:numPr>
          <w:ilvl w:val="0"/>
          <w:numId w:val="1"/>
        </w:numPr>
        <w:overflowPunct/>
        <w:jc w:val="both"/>
        <w:rPr>
          <w:sz w:val="24"/>
          <w:szCs w:val="22"/>
        </w:rPr>
      </w:pPr>
      <w:r w:rsidRPr="009818A2">
        <w:rPr>
          <w:sz w:val="24"/>
          <w:szCs w:val="22"/>
        </w:rPr>
        <w:lastRenderedPageBreak/>
        <w:t>Interest-free funds remitted from Head Office for acquisition of property</w:t>
      </w:r>
    </w:p>
    <w:p w14:paraId="7AF8BBFF" w14:textId="77777777" w:rsidR="00EC07BA" w:rsidRPr="009818A2" w:rsidRDefault="00EC07BA" w:rsidP="00EC07BA">
      <w:pPr>
        <w:ind w:left="360"/>
        <w:jc w:val="both"/>
        <w:rPr>
          <w:sz w:val="24"/>
          <w:szCs w:val="22"/>
        </w:rPr>
      </w:pPr>
    </w:p>
    <w:p w14:paraId="33512E62" w14:textId="77777777" w:rsidR="00EC07BA" w:rsidRPr="009818A2" w:rsidRDefault="00EC07BA" w:rsidP="00EC07BA">
      <w:pPr>
        <w:ind w:firstLine="720"/>
        <w:jc w:val="both"/>
        <w:rPr>
          <w:sz w:val="24"/>
          <w:szCs w:val="22"/>
        </w:rPr>
      </w:pPr>
      <w:r w:rsidRPr="009818A2">
        <w:rPr>
          <w:sz w:val="24"/>
          <w:szCs w:val="22"/>
        </w:rPr>
        <w:t>Tier 2 Capital:</w:t>
      </w:r>
    </w:p>
    <w:p w14:paraId="4C6D2C1C" w14:textId="77777777" w:rsidR="00EC07BA" w:rsidRPr="009818A2" w:rsidRDefault="00E03DF9" w:rsidP="00AF141A">
      <w:pPr>
        <w:widowControl w:val="0"/>
        <w:numPr>
          <w:ilvl w:val="0"/>
          <w:numId w:val="2"/>
        </w:numPr>
        <w:tabs>
          <w:tab w:val="clear" w:pos="720"/>
          <w:tab w:val="num" w:pos="1080"/>
        </w:tabs>
        <w:overflowPunct/>
        <w:ind w:left="1080"/>
        <w:jc w:val="both"/>
        <w:rPr>
          <w:sz w:val="24"/>
          <w:szCs w:val="22"/>
        </w:rPr>
      </w:pPr>
      <w:r w:rsidRPr="009818A2">
        <w:rPr>
          <w:sz w:val="24"/>
          <w:szCs w:val="22"/>
        </w:rPr>
        <w:t xml:space="preserve"> </w:t>
      </w:r>
      <w:r w:rsidR="00EC07BA" w:rsidRPr="009818A2">
        <w:rPr>
          <w:sz w:val="24"/>
          <w:szCs w:val="22"/>
        </w:rPr>
        <w:t>General provisions and loss reserves:</w:t>
      </w:r>
    </w:p>
    <w:p w14:paraId="13420517" w14:textId="77777777" w:rsidR="0048247A" w:rsidRPr="009818A2" w:rsidRDefault="00E03DF9" w:rsidP="00FC160F">
      <w:pPr>
        <w:pStyle w:val="ListParagraph"/>
        <w:ind w:left="1152"/>
        <w:jc w:val="both"/>
        <w:rPr>
          <w:sz w:val="24"/>
          <w:szCs w:val="22"/>
        </w:rPr>
      </w:pPr>
      <w:r w:rsidRPr="009818A2">
        <w:rPr>
          <w:sz w:val="24"/>
          <w:szCs w:val="22"/>
        </w:rPr>
        <w:t>Reserves not attributable to the actual diminution in value or identifiable potential loss in any specific asset and are available to meet unexpected losses are included in Tier 2 capital subject to a maximum of 1.25 per cent of the total</w:t>
      </w:r>
      <w:r w:rsidR="005C792C" w:rsidRPr="009818A2">
        <w:rPr>
          <w:sz w:val="24"/>
          <w:szCs w:val="22"/>
        </w:rPr>
        <w:t xml:space="preserve"> credit</w:t>
      </w:r>
      <w:r w:rsidRPr="009818A2">
        <w:rPr>
          <w:sz w:val="24"/>
          <w:szCs w:val="22"/>
        </w:rPr>
        <w:t xml:space="preserve"> risk-weighted assets. Such provisions and reserves include General Provisions on Standard Assets’,</w:t>
      </w:r>
      <w:r w:rsidR="0048247A" w:rsidRPr="009818A2">
        <w:rPr>
          <w:sz w:val="24"/>
          <w:szCs w:val="22"/>
        </w:rPr>
        <w:t xml:space="preserve"> unhedged foreign currency provision,</w:t>
      </w:r>
      <w:r w:rsidRPr="009818A2">
        <w:rPr>
          <w:sz w:val="24"/>
          <w:szCs w:val="22"/>
        </w:rPr>
        <w:t xml:space="preserve"> Provisions held for Country Exposures’ a</w:t>
      </w:r>
      <w:r w:rsidR="00FC160F" w:rsidRPr="009818A2">
        <w:rPr>
          <w:sz w:val="24"/>
          <w:szCs w:val="22"/>
        </w:rPr>
        <w:t>nd Investment Reserve Account’.</w:t>
      </w:r>
    </w:p>
    <w:p w14:paraId="66CA11CE" w14:textId="77777777" w:rsidR="00EC07BA" w:rsidRPr="001D70E9" w:rsidRDefault="00EC07BA" w:rsidP="00891A21">
      <w:pPr>
        <w:jc w:val="both"/>
        <w:rPr>
          <w:sz w:val="22"/>
          <w:szCs w:val="22"/>
        </w:rPr>
      </w:pPr>
    </w:p>
    <w:p w14:paraId="7119EC7E" w14:textId="77777777" w:rsidR="00EC07BA" w:rsidRPr="009818A2" w:rsidRDefault="00EC07BA" w:rsidP="00EC07BA">
      <w:pPr>
        <w:ind w:left="720"/>
        <w:jc w:val="both"/>
        <w:rPr>
          <w:rStyle w:val="CommentReference"/>
          <w:b/>
          <w:sz w:val="24"/>
          <w:szCs w:val="22"/>
          <w:lang w:val="fr-FR"/>
        </w:rPr>
      </w:pPr>
      <w:r w:rsidRPr="009818A2">
        <w:rPr>
          <w:rStyle w:val="CommentReference"/>
          <w:b/>
          <w:sz w:val="24"/>
          <w:szCs w:val="22"/>
          <w:lang w:val="fr-FR"/>
        </w:rPr>
        <w:t xml:space="preserve">Quantitative </w:t>
      </w:r>
      <w:proofErr w:type="spellStart"/>
      <w:r w:rsidRPr="009818A2">
        <w:rPr>
          <w:rStyle w:val="CommentReference"/>
          <w:b/>
          <w:sz w:val="24"/>
          <w:szCs w:val="22"/>
          <w:lang w:val="fr-FR"/>
        </w:rPr>
        <w:t>Disclosures</w:t>
      </w:r>
      <w:proofErr w:type="spellEnd"/>
    </w:p>
    <w:p w14:paraId="0A9283C1" w14:textId="77777777" w:rsidR="00891A21" w:rsidRPr="009818A2" w:rsidRDefault="00891A21" w:rsidP="00EC07BA">
      <w:pPr>
        <w:ind w:left="720"/>
        <w:jc w:val="both"/>
        <w:rPr>
          <w:rStyle w:val="CommentReference"/>
          <w:b/>
          <w:sz w:val="24"/>
          <w:szCs w:val="22"/>
          <w:lang w:val="fr-FR"/>
        </w:rPr>
      </w:pPr>
    </w:p>
    <w:p w14:paraId="31D53ED5" w14:textId="77777777" w:rsidR="004C198E" w:rsidRPr="009B4E07" w:rsidRDefault="004418C3" w:rsidP="009818A2">
      <w:pPr>
        <w:pStyle w:val="ListParagraph"/>
        <w:numPr>
          <w:ilvl w:val="0"/>
          <w:numId w:val="8"/>
        </w:numPr>
        <w:tabs>
          <w:tab w:val="left" w:pos="1440"/>
        </w:tabs>
        <w:ind w:right="-90"/>
        <w:rPr>
          <w:sz w:val="24"/>
          <w:szCs w:val="22"/>
          <w:lang w:val="en-CA"/>
        </w:rPr>
      </w:pPr>
      <w:r w:rsidRPr="009B4E07">
        <w:rPr>
          <w:sz w:val="24"/>
          <w:szCs w:val="22"/>
          <w:lang w:val="en-CA"/>
        </w:rPr>
        <w:t>Tier 1 Capital</w:t>
      </w:r>
      <w:r w:rsidRPr="009B4E07">
        <w:rPr>
          <w:sz w:val="24"/>
          <w:szCs w:val="22"/>
          <w:lang w:val="en-CA"/>
        </w:rPr>
        <w:tab/>
      </w:r>
      <w:r w:rsidR="006122CE" w:rsidRPr="009B4E07">
        <w:rPr>
          <w:sz w:val="24"/>
          <w:szCs w:val="22"/>
          <w:lang w:val="en-CA"/>
        </w:rPr>
        <w:t xml:space="preserve">                                                                            </w:t>
      </w:r>
      <w:r w:rsidRPr="009B4E07">
        <w:rPr>
          <w:sz w:val="24"/>
          <w:szCs w:val="22"/>
          <w:lang w:val="en-CA"/>
        </w:rPr>
        <w:t xml:space="preserve">         </w:t>
      </w:r>
      <w:r w:rsidR="009818A2" w:rsidRPr="009B4E07">
        <w:rPr>
          <w:sz w:val="24"/>
          <w:szCs w:val="22"/>
          <w:lang w:val="en-CA"/>
        </w:rPr>
        <w:t xml:space="preserve">     </w:t>
      </w:r>
      <w:proofErr w:type="gramStart"/>
      <w:r w:rsidRPr="009B4E07">
        <w:rPr>
          <w:sz w:val="24"/>
          <w:szCs w:val="22"/>
          <w:lang w:val="en-CA"/>
        </w:rPr>
        <w:t xml:space="preserve">   </w:t>
      </w:r>
      <w:r w:rsidR="00EC07BA" w:rsidRPr="009B4E07">
        <w:rPr>
          <w:sz w:val="24"/>
          <w:szCs w:val="22"/>
          <w:lang w:val="en-CA"/>
        </w:rPr>
        <w:t>(</w:t>
      </w:r>
      <w:proofErr w:type="gramEnd"/>
      <w:r w:rsidR="00757C07" w:rsidRPr="009B4E07">
        <w:rPr>
          <w:sz w:val="24"/>
          <w:szCs w:val="22"/>
          <w:lang w:val="en-CA"/>
        </w:rPr>
        <w:t xml:space="preserve">In </w:t>
      </w:r>
      <w:r w:rsidR="00EC07BA" w:rsidRPr="009B4E07">
        <w:rPr>
          <w:sz w:val="24"/>
          <w:szCs w:val="22"/>
          <w:lang w:val="en-CA"/>
        </w:rPr>
        <w:t>Rs.</w:t>
      </w:r>
      <w:r w:rsidR="00EC07BA" w:rsidRPr="009818A2">
        <w:rPr>
          <w:sz w:val="24"/>
          <w:szCs w:val="22"/>
        </w:rPr>
        <w:t>000</w:t>
      </w:r>
      <w:r w:rsidR="00DF1CD2" w:rsidRPr="009818A2">
        <w:rPr>
          <w:sz w:val="24"/>
          <w:szCs w:val="22"/>
        </w:rPr>
        <w:t>’</w:t>
      </w:r>
      <w:r w:rsidR="00EC07BA" w:rsidRPr="009818A2">
        <w:rPr>
          <w:sz w:val="24"/>
          <w:szCs w:val="22"/>
        </w:rPr>
        <w:t>s)</w:t>
      </w:r>
    </w:p>
    <w:tbl>
      <w:tblPr>
        <w:tblW w:w="8273"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3"/>
        <w:gridCol w:w="2250"/>
      </w:tblGrid>
      <w:tr w:rsidR="006122CE" w:rsidRPr="009818A2" w14:paraId="5F3CBADA" w14:textId="77777777" w:rsidTr="009818A2">
        <w:trPr>
          <w:trHeight w:val="300"/>
        </w:trPr>
        <w:tc>
          <w:tcPr>
            <w:tcW w:w="6023" w:type="dxa"/>
            <w:shd w:val="clear" w:color="auto" w:fill="auto"/>
            <w:noWrap/>
            <w:vAlign w:val="center"/>
            <w:hideMark/>
          </w:tcPr>
          <w:p w14:paraId="5CD8424D" w14:textId="77777777" w:rsidR="006122CE" w:rsidRPr="009818A2" w:rsidRDefault="006122CE" w:rsidP="006122CE">
            <w:pPr>
              <w:overflowPunct/>
              <w:autoSpaceDE/>
              <w:autoSpaceDN/>
              <w:adjustRightInd/>
              <w:textAlignment w:val="auto"/>
              <w:rPr>
                <w:color w:val="000000"/>
                <w:sz w:val="24"/>
                <w:szCs w:val="22"/>
                <w:lang w:val="en-CA" w:eastAsia="en-CA"/>
              </w:rPr>
            </w:pPr>
            <w:r w:rsidRPr="009818A2">
              <w:rPr>
                <w:color w:val="000000"/>
                <w:sz w:val="24"/>
                <w:szCs w:val="22"/>
                <w:lang w:eastAsia="en-CA"/>
              </w:rPr>
              <w:t>Amount Received from Head Office</w:t>
            </w:r>
          </w:p>
        </w:tc>
        <w:tc>
          <w:tcPr>
            <w:tcW w:w="2250" w:type="dxa"/>
            <w:shd w:val="clear" w:color="auto" w:fill="auto"/>
            <w:noWrap/>
            <w:vAlign w:val="center"/>
            <w:hideMark/>
          </w:tcPr>
          <w:p w14:paraId="6F746467" w14:textId="77777777" w:rsidR="006122CE" w:rsidRPr="009818A2" w:rsidRDefault="006122CE" w:rsidP="006122CE">
            <w:pPr>
              <w:overflowPunct/>
              <w:autoSpaceDE/>
              <w:autoSpaceDN/>
              <w:adjustRightInd/>
              <w:jc w:val="right"/>
              <w:textAlignment w:val="auto"/>
              <w:rPr>
                <w:color w:val="000000"/>
                <w:sz w:val="24"/>
                <w:szCs w:val="22"/>
                <w:lang w:val="en-CA" w:eastAsia="en-CA"/>
              </w:rPr>
            </w:pPr>
            <w:r w:rsidRPr="009818A2">
              <w:rPr>
                <w:color w:val="000000"/>
                <w:sz w:val="24"/>
                <w:szCs w:val="22"/>
                <w:lang w:eastAsia="en-CA"/>
              </w:rPr>
              <w:t xml:space="preserve">           </w:t>
            </w:r>
            <w:r w:rsidR="00BB7116" w:rsidRPr="009818A2">
              <w:rPr>
                <w:color w:val="000000"/>
                <w:sz w:val="24"/>
                <w:szCs w:val="22"/>
                <w:lang w:eastAsia="en-CA"/>
              </w:rPr>
              <w:t>8,394,130</w:t>
            </w:r>
          </w:p>
        </w:tc>
      </w:tr>
      <w:tr w:rsidR="006122CE" w:rsidRPr="009818A2" w14:paraId="35EA71C4" w14:textId="77777777" w:rsidTr="009818A2">
        <w:trPr>
          <w:trHeight w:val="300"/>
        </w:trPr>
        <w:tc>
          <w:tcPr>
            <w:tcW w:w="6023" w:type="dxa"/>
            <w:shd w:val="clear" w:color="auto" w:fill="auto"/>
            <w:noWrap/>
            <w:vAlign w:val="center"/>
            <w:hideMark/>
          </w:tcPr>
          <w:p w14:paraId="37D92BB7" w14:textId="77777777" w:rsidR="006122CE" w:rsidRPr="009818A2" w:rsidRDefault="006122CE" w:rsidP="006122CE">
            <w:pPr>
              <w:overflowPunct/>
              <w:autoSpaceDE/>
              <w:autoSpaceDN/>
              <w:adjustRightInd/>
              <w:textAlignment w:val="auto"/>
              <w:rPr>
                <w:color w:val="000000"/>
                <w:sz w:val="24"/>
                <w:szCs w:val="22"/>
                <w:lang w:val="en-CA" w:eastAsia="en-CA"/>
              </w:rPr>
            </w:pPr>
            <w:r w:rsidRPr="009818A2">
              <w:rPr>
                <w:color w:val="000000"/>
                <w:sz w:val="24"/>
                <w:szCs w:val="22"/>
                <w:lang w:eastAsia="en-CA"/>
              </w:rPr>
              <w:t>Statutory Reserves</w:t>
            </w:r>
          </w:p>
        </w:tc>
        <w:tc>
          <w:tcPr>
            <w:tcW w:w="2250" w:type="dxa"/>
            <w:shd w:val="clear" w:color="auto" w:fill="auto"/>
            <w:noWrap/>
            <w:vAlign w:val="center"/>
            <w:hideMark/>
          </w:tcPr>
          <w:p w14:paraId="216EE240" w14:textId="0DE029F2" w:rsidR="006122CE" w:rsidRPr="009818A2" w:rsidRDefault="006122CE" w:rsidP="008C1713">
            <w:pPr>
              <w:overflowPunct/>
              <w:autoSpaceDE/>
              <w:autoSpaceDN/>
              <w:adjustRightInd/>
              <w:jc w:val="right"/>
              <w:textAlignment w:val="auto"/>
              <w:rPr>
                <w:color w:val="000000"/>
                <w:sz w:val="24"/>
                <w:szCs w:val="22"/>
                <w:lang w:val="en-CA" w:eastAsia="en-CA"/>
              </w:rPr>
            </w:pPr>
            <w:r w:rsidRPr="009818A2">
              <w:rPr>
                <w:color w:val="000000"/>
                <w:sz w:val="24"/>
                <w:szCs w:val="22"/>
                <w:lang w:eastAsia="en-CA"/>
              </w:rPr>
              <w:t xml:space="preserve">           </w:t>
            </w:r>
            <w:r w:rsidR="0048247A" w:rsidRPr="009818A2">
              <w:rPr>
                <w:color w:val="000000"/>
                <w:sz w:val="24"/>
                <w:szCs w:val="22"/>
                <w:lang w:eastAsia="en-CA"/>
              </w:rPr>
              <w:t>5</w:t>
            </w:r>
            <w:r w:rsidR="00BB7116" w:rsidRPr="009818A2">
              <w:rPr>
                <w:color w:val="000000"/>
                <w:sz w:val="24"/>
                <w:szCs w:val="22"/>
                <w:lang w:eastAsia="en-CA"/>
              </w:rPr>
              <w:t>,</w:t>
            </w:r>
            <w:r w:rsidR="006C2CF9">
              <w:rPr>
                <w:color w:val="000000"/>
                <w:sz w:val="24"/>
                <w:szCs w:val="22"/>
                <w:lang w:eastAsia="en-CA"/>
              </w:rPr>
              <w:t>416</w:t>
            </w:r>
            <w:r w:rsidR="00BB7116" w:rsidRPr="009818A2">
              <w:rPr>
                <w:color w:val="000000"/>
                <w:sz w:val="24"/>
                <w:szCs w:val="22"/>
                <w:lang w:eastAsia="en-CA"/>
              </w:rPr>
              <w:t>,</w:t>
            </w:r>
            <w:r w:rsidR="006C2CF9">
              <w:rPr>
                <w:color w:val="000000"/>
                <w:sz w:val="24"/>
                <w:szCs w:val="22"/>
                <w:lang w:eastAsia="en-CA"/>
              </w:rPr>
              <w:t>755</w:t>
            </w:r>
            <w:r w:rsidR="006C2CF9" w:rsidRPr="009818A2">
              <w:rPr>
                <w:color w:val="000000"/>
                <w:sz w:val="24"/>
                <w:szCs w:val="22"/>
                <w:lang w:eastAsia="en-CA"/>
              </w:rPr>
              <w:t xml:space="preserve"> </w:t>
            </w:r>
          </w:p>
        </w:tc>
      </w:tr>
      <w:tr w:rsidR="006122CE" w:rsidRPr="009818A2" w14:paraId="7D9F0696" w14:textId="77777777" w:rsidTr="009818A2">
        <w:trPr>
          <w:trHeight w:val="300"/>
        </w:trPr>
        <w:tc>
          <w:tcPr>
            <w:tcW w:w="6023" w:type="dxa"/>
            <w:shd w:val="clear" w:color="auto" w:fill="auto"/>
            <w:noWrap/>
            <w:vAlign w:val="center"/>
            <w:hideMark/>
          </w:tcPr>
          <w:p w14:paraId="7E1B2EBC" w14:textId="77777777" w:rsidR="006122CE" w:rsidRPr="009818A2" w:rsidRDefault="006122CE" w:rsidP="006122CE">
            <w:pPr>
              <w:overflowPunct/>
              <w:autoSpaceDE/>
              <w:autoSpaceDN/>
              <w:adjustRightInd/>
              <w:textAlignment w:val="auto"/>
              <w:rPr>
                <w:color w:val="000000"/>
                <w:sz w:val="24"/>
                <w:szCs w:val="22"/>
                <w:lang w:val="en-CA" w:eastAsia="en-CA"/>
              </w:rPr>
            </w:pPr>
            <w:proofErr w:type="spellStart"/>
            <w:r w:rsidRPr="009818A2">
              <w:rPr>
                <w:color w:val="000000"/>
                <w:sz w:val="24"/>
                <w:szCs w:val="22"/>
                <w:lang w:eastAsia="en-CA"/>
              </w:rPr>
              <w:t>Remittable</w:t>
            </w:r>
            <w:proofErr w:type="spellEnd"/>
            <w:r w:rsidRPr="009818A2">
              <w:rPr>
                <w:color w:val="000000"/>
                <w:sz w:val="24"/>
                <w:szCs w:val="22"/>
                <w:lang w:eastAsia="en-CA"/>
              </w:rPr>
              <w:t xml:space="preserve"> Surplus Retained in India for CRAR </w:t>
            </w:r>
          </w:p>
        </w:tc>
        <w:tc>
          <w:tcPr>
            <w:tcW w:w="2250" w:type="dxa"/>
            <w:shd w:val="clear" w:color="auto" w:fill="auto"/>
            <w:noWrap/>
            <w:vAlign w:val="center"/>
            <w:hideMark/>
          </w:tcPr>
          <w:p w14:paraId="73DCEDE3" w14:textId="77777777" w:rsidR="006122CE" w:rsidRPr="009818A2" w:rsidRDefault="006122CE" w:rsidP="006122CE">
            <w:pPr>
              <w:overflowPunct/>
              <w:autoSpaceDE/>
              <w:autoSpaceDN/>
              <w:adjustRightInd/>
              <w:jc w:val="right"/>
              <w:textAlignment w:val="auto"/>
              <w:rPr>
                <w:color w:val="000000"/>
                <w:sz w:val="24"/>
                <w:szCs w:val="22"/>
                <w:lang w:val="en-CA" w:eastAsia="en-CA"/>
              </w:rPr>
            </w:pPr>
            <w:r w:rsidRPr="009818A2">
              <w:rPr>
                <w:color w:val="000000"/>
                <w:sz w:val="24"/>
                <w:szCs w:val="22"/>
                <w:lang w:eastAsia="en-CA"/>
              </w:rPr>
              <w:t xml:space="preserve">           </w:t>
            </w:r>
            <w:r w:rsidR="00BB7116" w:rsidRPr="009818A2">
              <w:rPr>
                <w:color w:val="000000"/>
                <w:sz w:val="24"/>
                <w:szCs w:val="22"/>
                <w:lang w:eastAsia="en-CA"/>
              </w:rPr>
              <w:t>3,617,952</w:t>
            </w:r>
            <w:r w:rsidRPr="009818A2">
              <w:rPr>
                <w:color w:val="000000"/>
                <w:sz w:val="24"/>
                <w:szCs w:val="22"/>
                <w:lang w:eastAsia="en-CA"/>
              </w:rPr>
              <w:t xml:space="preserve"> </w:t>
            </w:r>
          </w:p>
        </w:tc>
      </w:tr>
      <w:tr w:rsidR="006122CE" w:rsidRPr="009818A2" w14:paraId="07E03341" w14:textId="77777777" w:rsidTr="009818A2">
        <w:trPr>
          <w:trHeight w:val="300"/>
        </w:trPr>
        <w:tc>
          <w:tcPr>
            <w:tcW w:w="6023" w:type="dxa"/>
            <w:shd w:val="clear" w:color="auto" w:fill="auto"/>
            <w:noWrap/>
            <w:vAlign w:val="center"/>
            <w:hideMark/>
          </w:tcPr>
          <w:p w14:paraId="58CCA2B3" w14:textId="77777777" w:rsidR="006122CE" w:rsidRPr="009818A2" w:rsidRDefault="006122CE" w:rsidP="006122CE">
            <w:pPr>
              <w:overflowPunct/>
              <w:autoSpaceDE/>
              <w:autoSpaceDN/>
              <w:adjustRightInd/>
              <w:textAlignment w:val="auto"/>
              <w:rPr>
                <w:color w:val="000000"/>
                <w:sz w:val="24"/>
                <w:szCs w:val="22"/>
                <w:lang w:val="en-CA" w:eastAsia="en-CA"/>
              </w:rPr>
            </w:pPr>
            <w:r w:rsidRPr="009818A2">
              <w:rPr>
                <w:color w:val="000000"/>
                <w:sz w:val="24"/>
                <w:szCs w:val="22"/>
                <w:lang w:eastAsia="en-CA"/>
              </w:rPr>
              <w:t>General Reserve</w:t>
            </w:r>
          </w:p>
        </w:tc>
        <w:tc>
          <w:tcPr>
            <w:tcW w:w="2250" w:type="dxa"/>
            <w:shd w:val="clear" w:color="auto" w:fill="auto"/>
            <w:noWrap/>
            <w:vAlign w:val="center"/>
            <w:hideMark/>
          </w:tcPr>
          <w:p w14:paraId="3D8A90C2" w14:textId="3F7F5F9A" w:rsidR="006122CE" w:rsidRPr="009818A2" w:rsidRDefault="006122CE" w:rsidP="00147534">
            <w:pPr>
              <w:overflowPunct/>
              <w:autoSpaceDE/>
              <w:autoSpaceDN/>
              <w:adjustRightInd/>
              <w:jc w:val="right"/>
              <w:textAlignment w:val="auto"/>
              <w:rPr>
                <w:color w:val="000000"/>
                <w:sz w:val="24"/>
                <w:szCs w:val="22"/>
                <w:lang w:val="en-CA" w:eastAsia="en-CA"/>
              </w:rPr>
            </w:pPr>
            <w:r w:rsidRPr="009818A2">
              <w:rPr>
                <w:color w:val="000000"/>
                <w:sz w:val="24"/>
                <w:szCs w:val="22"/>
                <w:lang w:eastAsia="en-CA"/>
              </w:rPr>
              <w:t xml:space="preserve">                 </w:t>
            </w:r>
            <w:r w:rsidR="00BB7116" w:rsidRPr="009818A2">
              <w:rPr>
                <w:color w:val="000000"/>
                <w:sz w:val="24"/>
                <w:szCs w:val="22"/>
                <w:lang w:eastAsia="en-CA"/>
              </w:rPr>
              <w:t>94,92</w:t>
            </w:r>
            <w:r w:rsidR="00147534">
              <w:rPr>
                <w:color w:val="000000"/>
                <w:sz w:val="24"/>
                <w:szCs w:val="22"/>
                <w:lang w:eastAsia="en-CA"/>
              </w:rPr>
              <w:t>0</w:t>
            </w:r>
            <w:r w:rsidRPr="009818A2">
              <w:rPr>
                <w:color w:val="000000"/>
                <w:sz w:val="24"/>
                <w:szCs w:val="22"/>
                <w:lang w:eastAsia="en-CA"/>
              </w:rPr>
              <w:t xml:space="preserve"> </w:t>
            </w:r>
          </w:p>
        </w:tc>
      </w:tr>
      <w:tr w:rsidR="006122CE" w:rsidRPr="009818A2" w14:paraId="205EC8A6" w14:textId="77777777" w:rsidTr="009818A2">
        <w:trPr>
          <w:trHeight w:val="300"/>
        </w:trPr>
        <w:tc>
          <w:tcPr>
            <w:tcW w:w="6023" w:type="dxa"/>
            <w:shd w:val="clear" w:color="auto" w:fill="auto"/>
            <w:noWrap/>
            <w:vAlign w:val="center"/>
            <w:hideMark/>
          </w:tcPr>
          <w:p w14:paraId="3F1AF0BF" w14:textId="77777777" w:rsidR="006122CE" w:rsidRPr="009818A2" w:rsidRDefault="006122CE" w:rsidP="006122CE">
            <w:pPr>
              <w:overflowPunct/>
              <w:autoSpaceDE/>
              <w:autoSpaceDN/>
              <w:adjustRightInd/>
              <w:textAlignment w:val="auto"/>
              <w:rPr>
                <w:color w:val="000000"/>
                <w:sz w:val="24"/>
                <w:szCs w:val="22"/>
                <w:lang w:val="en-CA" w:eastAsia="en-CA"/>
              </w:rPr>
            </w:pPr>
            <w:r w:rsidRPr="009818A2">
              <w:rPr>
                <w:color w:val="000000"/>
                <w:sz w:val="24"/>
                <w:szCs w:val="22"/>
                <w:lang w:eastAsia="en-CA"/>
              </w:rPr>
              <w:t>Less : Intangible Assets</w:t>
            </w:r>
          </w:p>
        </w:tc>
        <w:tc>
          <w:tcPr>
            <w:tcW w:w="2250" w:type="dxa"/>
            <w:shd w:val="clear" w:color="auto" w:fill="auto"/>
            <w:noWrap/>
            <w:vAlign w:val="center"/>
            <w:hideMark/>
          </w:tcPr>
          <w:p w14:paraId="0792A8B4" w14:textId="3D641C84" w:rsidR="006122CE" w:rsidRPr="009818A2" w:rsidRDefault="006C2CF9" w:rsidP="008C1713">
            <w:pPr>
              <w:overflowPunct/>
              <w:autoSpaceDE/>
              <w:autoSpaceDN/>
              <w:adjustRightInd/>
              <w:jc w:val="right"/>
              <w:textAlignment w:val="auto"/>
              <w:rPr>
                <w:color w:val="000000"/>
                <w:sz w:val="24"/>
                <w:szCs w:val="22"/>
                <w:lang w:val="en-CA" w:eastAsia="en-CA"/>
              </w:rPr>
            </w:pPr>
            <w:r>
              <w:rPr>
                <w:color w:val="000000"/>
                <w:sz w:val="24"/>
                <w:szCs w:val="22"/>
                <w:lang w:val="en-CA" w:eastAsia="en-CA"/>
              </w:rPr>
              <w:t>414</w:t>
            </w:r>
            <w:r w:rsidR="005C5239">
              <w:rPr>
                <w:color w:val="000000"/>
                <w:sz w:val="24"/>
                <w:szCs w:val="22"/>
                <w:lang w:val="en-CA" w:eastAsia="en-CA"/>
              </w:rPr>
              <w:t>,</w:t>
            </w:r>
            <w:r>
              <w:rPr>
                <w:color w:val="000000"/>
                <w:sz w:val="24"/>
                <w:szCs w:val="22"/>
                <w:lang w:val="en-CA" w:eastAsia="en-CA"/>
              </w:rPr>
              <w:t>763</w:t>
            </w:r>
          </w:p>
        </w:tc>
      </w:tr>
      <w:tr w:rsidR="006122CE" w:rsidRPr="009818A2" w14:paraId="5700E98A" w14:textId="77777777" w:rsidTr="009818A2">
        <w:trPr>
          <w:trHeight w:val="300"/>
        </w:trPr>
        <w:tc>
          <w:tcPr>
            <w:tcW w:w="6023" w:type="dxa"/>
            <w:shd w:val="clear" w:color="auto" w:fill="auto"/>
            <w:noWrap/>
            <w:vAlign w:val="center"/>
            <w:hideMark/>
          </w:tcPr>
          <w:p w14:paraId="6F44582D" w14:textId="77777777" w:rsidR="006122CE" w:rsidRPr="009818A2" w:rsidRDefault="006122CE" w:rsidP="006122CE">
            <w:pPr>
              <w:overflowPunct/>
              <w:autoSpaceDE/>
              <w:autoSpaceDN/>
              <w:adjustRightInd/>
              <w:textAlignment w:val="auto"/>
              <w:rPr>
                <w:color w:val="000000"/>
                <w:sz w:val="24"/>
                <w:szCs w:val="22"/>
                <w:lang w:val="en-CA" w:eastAsia="en-CA"/>
              </w:rPr>
            </w:pPr>
            <w:r w:rsidRPr="009818A2">
              <w:rPr>
                <w:color w:val="000000"/>
                <w:sz w:val="24"/>
                <w:szCs w:val="22"/>
                <w:lang w:eastAsia="en-CA"/>
              </w:rPr>
              <w:t>Total Tier 1 Capital</w:t>
            </w:r>
          </w:p>
        </w:tc>
        <w:tc>
          <w:tcPr>
            <w:tcW w:w="2250" w:type="dxa"/>
            <w:shd w:val="clear" w:color="auto" w:fill="auto"/>
            <w:noWrap/>
            <w:vAlign w:val="center"/>
            <w:hideMark/>
          </w:tcPr>
          <w:p w14:paraId="2BF7A851" w14:textId="1DC61C41" w:rsidR="006122CE" w:rsidRPr="009818A2" w:rsidRDefault="006122CE" w:rsidP="008C1713">
            <w:pPr>
              <w:overflowPunct/>
              <w:autoSpaceDE/>
              <w:autoSpaceDN/>
              <w:adjustRightInd/>
              <w:jc w:val="right"/>
              <w:textAlignment w:val="auto"/>
              <w:rPr>
                <w:color w:val="000000"/>
                <w:sz w:val="24"/>
                <w:szCs w:val="22"/>
                <w:lang w:val="en-CA" w:eastAsia="en-CA"/>
              </w:rPr>
            </w:pPr>
            <w:r w:rsidRPr="009818A2">
              <w:rPr>
                <w:color w:val="000000"/>
                <w:sz w:val="24"/>
                <w:szCs w:val="22"/>
                <w:lang w:eastAsia="en-CA"/>
              </w:rPr>
              <w:t xml:space="preserve">        </w:t>
            </w:r>
            <w:r w:rsidR="006C2CF9">
              <w:rPr>
                <w:color w:val="000000"/>
                <w:sz w:val="24"/>
                <w:szCs w:val="22"/>
                <w:lang w:eastAsia="en-CA"/>
              </w:rPr>
              <w:t>17</w:t>
            </w:r>
            <w:r w:rsidR="00EA4098">
              <w:rPr>
                <w:color w:val="000000"/>
                <w:sz w:val="24"/>
                <w:szCs w:val="22"/>
                <w:lang w:eastAsia="en-CA"/>
              </w:rPr>
              <w:t>,</w:t>
            </w:r>
            <w:r w:rsidR="006C2CF9">
              <w:rPr>
                <w:color w:val="000000"/>
                <w:sz w:val="24"/>
                <w:szCs w:val="22"/>
                <w:lang w:eastAsia="en-CA"/>
              </w:rPr>
              <w:t>108</w:t>
            </w:r>
            <w:r w:rsidR="00EA4098">
              <w:rPr>
                <w:color w:val="000000"/>
                <w:sz w:val="24"/>
                <w:szCs w:val="22"/>
                <w:lang w:eastAsia="en-CA"/>
              </w:rPr>
              <w:t>,</w:t>
            </w:r>
            <w:r w:rsidR="006C2CF9">
              <w:rPr>
                <w:color w:val="000000"/>
                <w:sz w:val="24"/>
                <w:szCs w:val="22"/>
                <w:lang w:eastAsia="en-CA"/>
              </w:rPr>
              <w:t>994</w:t>
            </w:r>
          </w:p>
        </w:tc>
      </w:tr>
    </w:tbl>
    <w:p w14:paraId="590C4339" w14:textId="77777777" w:rsidR="006122CE" w:rsidRPr="009818A2" w:rsidRDefault="006122CE" w:rsidP="00EC07BA">
      <w:pPr>
        <w:tabs>
          <w:tab w:val="left" w:pos="1440"/>
        </w:tabs>
        <w:ind w:left="1440" w:hanging="720"/>
        <w:rPr>
          <w:sz w:val="24"/>
          <w:szCs w:val="22"/>
        </w:rPr>
      </w:pPr>
    </w:p>
    <w:p w14:paraId="467BD7B8" w14:textId="77777777" w:rsidR="00985B97" w:rsidRPr="009818A2" w:rsidRDefault="00EC07BA" w:rsidP="009818A2">
      <w:pPr>
        <w:pStyle w:val="ListParagraph"/>
        <w:numPr>
          <w:ilvl w:val="0"/>
          <w:numId w:val="8"/>
        </w:numPr>
        <w:tabs>
          <w:tab w:val="left" w:pos="1440"/>
        </w:tabs>
        <w:ind w:right="-90"/>
        <w:rPr>
          <w:sz w:val="24"/>
          <w:szCs w:val="22"/>
        </w:rPr>
      </w:pPr>
      <w:r w:rsidRPr="009818A2">
        <w:rPr>
          <w:sz w:val="24"/>
          <w:szCs w:val="22"/>
        </w:rPr>
        <w:t>Tier 2 Capital</w:t>
      </w:r>
      <w:r w:rsidRPr="009818A2">
        <w:rPr>
          <w:sz w:val="24"/>
          <w:szCs w:val="22"/>
        </w:rPr>
        <w:tab/>
      </w:r>
      <w:r w:rsidRPr="009818A2">
        <w:rPr>
          <w:sz w:val="24"/>
          <w:szCs w:val="22"/>
        </w:rPr>
        <w:tab/>
      </w:r>
      <w:r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t xml:space="preserve"> </w:t>
      </w:r>
      <w:r w:rsidR="009818A2">
        <w:rPr>
          <w:sz w:val="24"/>
          <w:szCs w:val="22"/>
        </w:rPr>
        <w:t xml:space="preserve">    </w:t>
      </w:r>
      <w:r w:rsidR="004418C3" w:rsidRPr="009818A2">
        <w:rPr>
          <w:sz w:val="24"/>
          <w:szCs w:val="22"/>
        </w:rPr>
        <w:t xml:space="preserve">     </w:t>
      </w:r>
      <w:r w:rsidR="00757C07" w:rsidRPr="009818A2">
        <w:rPr>
          <w:sz w:val="24"/>
          <w:szCs w:val="22"/>
        </w:rPr>
        <w:t xml:space="preserve"> </w:t>
      </w:r>
      <w:r w:rsidR="00757C07" w:rsidRPr="00864BAD">
        <w:rPr>
          <w:sz w:val="24"/>
          <w:szCs w:val="22"/>
          <w:lang w:val="en-CA"/>
        </w:rPr>
        <w:t xml:space="preserve">(In </w:t>
      </w:r>
      <w:r w:rsidR="004418C3" w:rsidRPr="009818A2">
        <w:rPr>
          <w:sz w:val="24"/>
          <w:szCs w:val="22"/>
        </w:rPr>
        <w:t>Rs.000’s)</w:t>
      </w:r>
      <w:r w:rsidR="004418C3" w:rsidRPr="009818A2">
        <w:rPr>
          <w:sz w:val="24"/>
          <w:szCs w:val="22"/>
        </w:rPr>
        <w:tab/>
      </w:r>
      <w:r w:rsidR="006122CE" w:rsidRPr="009818A2">
        <w:rPr>
          <w:sz w:val="24"/>
          <w:szCs w:val="22"/>
        </w:rPr>
        <w:t xml:space="preserve">                       </w:t>
      </w:r>
      <w:r w:rsidR="004418C3" w:rsidRPr="009818A2">
        <w:rPr>
          <w:sz w:val="24"/>
          <w:szCs w:val="22"/>
        </w:rPr>
        <w:t xml:space="preserve">                                                                                                                 </w:t>
      </w: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2250"/>
      </w:tblGrid>
      <w:tr w:rsidR="006122CE" w:rsidRPr="009818A2" w14:paraId="5D971193" w14:textId="77777777" w:rsidTr="009818A2">
        <w:trPr>
          <w:trHeight w:val="300"/>
        </w:trPr>
        <w:tc>
          <w:tcPr>
            <w:tcW w:w="6030" w:type="dxa"/>
            <w:shd w:val="clear" w:color="auto" w:fill="auto"/>
            <w:noWrap/>
            <w:vAlign w:val="center"/>
            <w:hideMark/>
          </w:tcPr>
          <w:p w14:paraId="180F8AE8" w14:textId="77777777" w:rsidR="006122CE" w:rsidRPr="009818A2" w:rsidRDefault="006122CE" w:rsidP="006122CE">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General Provisions </w:t>
            </w:r>
          </w:p>
        </w:tc>
        <w:tc>
          <w:tcPr>
            <w:tcW w:w="2250" w:type="dxa"/>
            <w:shd w:val="clear" w:color="auto" w:fill="auto"/>
            <w:noWrap/>
            <w:vAlign w:val="center"/>
            <w:hideMark/>
          </w:tcPr>
          <w:p w14:paraId="2750B0B0" w14:textId="5436A4A8" w:rsidR="006122CE" w:rsidRPr="00835C26" w:rsidRDefault="006C2CF9" w:rsidP="00121E0F">
            <w:pPr>
              <w:overflowPunct/>
              <w:autoSpaceDE/>
              <w:autoSpaceDN/>
              <w:adjustRightInd/>
              <w:jc w:val="right"/>
              <w:textAlignment w:val="auto"/>
              <w:rPr>
                <w:color w:val="000000"/>
                <w:sz w:val="24"/>
                <w:szCs w:val="22"/>
                <w:lang w:val="en-CA" w:eastAsia="en-CA"/>
              </w:rPr>
            </w:pPr>
            <w:r>
              <w:rPr>
                <w:color w:val="000000"/>
                <w:sz w:val="24"/>
                <w:szCs w:val="22"/>
                <w:lang w:eastAsia="en-CA"/>
              </w:rPr>
              <w:t>219</w:t>
            </w:r>
            <w:r w:rsidR="00E871D8">
              <w:rPr>
                <w:color w:val="000000"/>
                <w:sz w:val="24"/>
                <w:szCs w:val="22"/>
                <w:lang w:eastAsia="en-CA"/>
              </w:rPr>
              <w:t>,</w:t>
            </w:r>
            <w:r w:rsidR="005C5239">
              <w:rPr>
                <w:color w:val="000000"/>
                <w:sz w:val="24"/>
                <w:szCs w:val="22"/>
                <w:lang w:eastAsia="en-CA"/>
              </w:rPr>
              <w:t>729</w:t>
            </w:r>
          </w:p>
        </w:tc>
      </w:tr>
      <w:tr w:rsidR="006122CE" w:rsidRPr="009818A2" w14:paraId="5C8052FE" w14:textId="77777777" w:rsidTr="009818A2">
        <w:trPr>
          <w:trHeight w:val="300"/>
        </w:trPr>
        <w:tc>
          <w:tcPr>
            <w:tcW w:w="6030" w:type="dxa"/>
            <w:shd w:val="clear" w:color="auto" w:fill="auto"/>
            <w:noWrap/>
            <w:vAlign w:val="center"/>
            <w:hideMark/>
          </w:tcPr>
          <w:p w14:paraId="078A12BE" w14:textId="370CF94E" w:rsidR="006122CE" w:rsidRPr="009818A2" w:rsidRDefault="006122CE" w:rsidP="006122CE">
            <w:pPr>
              <w:overflowPunct/>
              <w:autoSpaceDE/>
              <w:autoSpaceDN/>
              <w:adjustRightInd/>
              <w:textAlignment w:val="auto"/>
              <w:rPr>
                <w:color w:val="000000"/>
                <w:sz w:val="24"/>
                <w:szCs w:val="22"/>
                <w:lang w:val="en-CA" w:eastAsia="en-CA"/>
              </w:rPr>
            </w:pPr>
            <w:r w:rsidRPr="009818A2">
              <w:rPr>
                <w:color w:val="000000"/>
                <w:sz w:val="24"/>
                <w:szCs w:val="22"/>
                <w:lang w:eastAsia="en-CA"/>
              </w:rPr>
              <w:t>Investment</w:t>
            </w:r>
            <w:r w:rsidR="00040726">
              <w:rPr>
                <w:color w:val="000000"/>
                <w:sz w:val="24"/>
                <w:szCs w:val="22"/>
                <w:lang w:eastAsia="en-CA"/>
              </w:rPr>
              <w:t xml:space="preserve"> fluctuation</w:t>
            </w:r>
            <w:r w:rsidRPr="009818A2">
              <w:rPr>
                <w:color w:val="000000"/>
                <w:sz w:val="24"/>
                <w:szCs w:val="22"/>
                <w:lang w:eastAsia="en-CA"/>
              </w:rPr>
              <w:t xml:space="preserve"> Reserve</w:t>
            </w:r>
          </w:p>
        </w:tc>
        <w:tc>
          <w:tcPr>
            <w:tcW w:w="2250" w:type="dxa"/>
            <w:shd w:val="clear" w:color="auto" w:fill="auto"/>
            <w:noWrap/>
            <w:vAlign w:val="center"/>
            <w:hideMark/>
          </w:tcPr>
          <w:p w14:paraId="56FDAA6F" w14:textId="6FA0A5E3" w:rsidR="006122CE" w:rsidRPr="00DE3FDC" w:rsidRDefault="006C2CF9" w:rsidP="006122CE">
            <w:pPr>
              <w:overflowPunct/>
              <w:autoSpaceDE/>
              <w:autoSpaceDN/>
              <w:adjustRightInd/>
              <w:jc w:val="right"/>
              <w:textAlignment w:val="auto"/>
              <w:rPr>
                <w:sz w:val="24"/>
                <w:szCs w:val="22"/>
                <w:lang w:val="en-CA" w:eastAsia="en-CA"/>
              </w:rPr>
            </w:pPr>
            <w:r>
              <w:rPr>
                <w:sz w:val="24"/>
                <w:szCs w:val="22"/>
                <w:lang w:eastAsia="en-CA"/>
              </w:rPr>
              <w:t>677</w:t>
            </w:r>
            <w:r w:rsidR="005C5239">
              <w:rPr>
                <w:sz w:val="24"/>
                <w:szCs w:val="22"/>
                <w:lang w:eastAsia="en-CA"/>
              </w:rPr>
              <w:t>,</w:t>
            </w:r>
            <w:r>
              <w:rPr>
                <w:sz w:val="24"/>
                <w:szCs w:val="22"/>
                <w:lang w:eastAsia="en-CA"/>
              </w:rPr>
              <w:t>038</w:t>
            </w:r>
          </w:p>
        </w:tc>
      </w:tr>
      <w:tr w:rsidR="00147534" w:rsidRPr="009818A2" w14:paraId="27D78B54" w14:textId="77777777" w:rsidTr="009818A2">
        <w:trPr>
          <w:trHeight w:val="300"/>
        </w:trPr>
        <w:tc>
          <w:tcPr>
            <w:tcW w:w="6030" w:type="dxa"/>
            <w:shd w:val="clear" w:color="auto" w:fill="auto"/>
            <w:noWrap/>
            <w:vAlign w:val="center"/>
          </w:tcPr>
          <w:p w14:paraId="337E72DE" w14:textId="4A8E912D" w:rsidR="00147534" w:rsidRPr="009818A2" w:rsidRDefault="00147534" w:rsidP="00147534">
            <w:pPr>
              <w:overflowPunct/>
              <w:autoSpaceDE/>
              <w:autoSpaceDN/>
              <w:adjustRightInd/>
              <w:textAlignment w:val="auto"/>
              <w:rPr>
                <w:color w:val="000000"/>
                <w:sz w:val="24"/>
                <w:szCs w:val="22"/>
                <w:lang w:eastAsia="en-CA"/>
              </w:rPr>
            </w:pPr>
          </w:p>
        </w:tc>
        <w:tc>
          <w:tcPr>
            <w:tcW w:w="2250" w:type="dxa"/>
            <w:shd w:val="clear" w:color="auto" w:fill="auto"/>
            <w:noWrap/>
            <w:vAlign w:val="center"/>
          </w:tcPr>
          <w:p w14:paraId="15097B9A" w14:textId="5A644A95" w:rsidR="00147534" w:rsidRPr="00DE3FDC" w:rsidRDefault="00147534" w:rsidP="006122CE">
            <w:pPr>
              <w:overflowPunct/>
              <w:autoSpaceDE/>
              <w:autoSpaceDN/>
              <w:adjustRightInd/>
              <w:jc w:val="right"/>
              <w:textAlignment w:val="auto"/>
              <w:rPr>
                <w:sz w:val="24"/>
                <w:szCs w:val="22"/>
                <w:lang w:eastAsia="en-CA"/>
              </w:rPr>
            </w:pPr>
          </w:p>
        </w:tc>
      </w:tr>
      <w:tr w:rsidR="00147534" w:rsidRPr="009818A2" w14:paraId="1EBC5ACB" w14:textId="77777777" w:rsidTr="009818A2">
        <w:trPr>
          <w:trHeight w:val="300"/>
        </w:trPr>
        <w:tc>
          <w:tcPr>
            <w:tcW w:w="6030" w:type="dxa"/>
            <w:shd w:val="clear" w:color="auto" w:fill="auto"/>
            <w:noWrap/>
            <w:vAlign w:val="center"/>
            <w:hideMark/>
          </w:tcPr>
          <w:p w14:paraId="41FCBEFA" w14:textId="77777777" w:rsidR="00147534" w:rsidRPr="009818A2" w:rsidRDefault="00147534" w:rsidP="006122CE">
            <w:pPr>
              <w:overflowPunct/>
              <w:autoSpaceDE/>
              <w:autoSpaceDN/>
              <w:adjustRightInd/>
              <w:textAlignment w:val="auto"/>
              <w:rPr>
                <w:color w:val="000000"/>
                <w:sz w:val="24"/>
                <w:szCs w:val="22"/>
                <w:lang w:val="en-CA" w:eastAsia="en-CA"/>
              </w:rPr>
            </w:pPr>
            <w:r w:rsidRPr="009818A2">
              <w:rPr>
                <w:color w:val="000000"/>
                <w:sz w:val="24"/>
                <w:szCs w:val="22"/>
                <w:lang w:eastAsia="en-CA"/>
              </w:rPr>
              <w:t>Country Risk Provisions</w:t>
            </w:r>
          </w:p>
        </w:tc>
        <w:tc>
          <w:tcPr>
            <w:tcW w:w="2250" w:type="dxa"/>
            <w:shd w:val="clear" w:color="auto" w:fill="auto"/>
            <w:noWrap/>
            <w:vAlign w:val="center"/>
            <w:hideMark/>
          </w:tcPr>
          <w:p w14:paraId="18375B75" w14:textId="77777777" w:rsidR="00147534" w:rsidRPr="00835C26" w:rsidRDefault="00147534" w:rsidP="006122CE">
            <w:pPr>
              <w:overflowPunct/>
              <w:autoSpaceDE/>
              <w:autoSpaceDN/>
              <w:adjustRightInd/>
              <w:jc w:val="right"/>
              <w:textAlignment w:val="auto"/>
              <w:rPr>
                <w:color w:val="000000"/>
                <w:sz w:val="24"/>
                <w:szCs w:val="22"/>
                <w:lang w:val="en-CA" w:eastAsia="en-CA"/>
              </w:rPr>
            </w:pPr>
            <w:r w:rsidRPr="00835C26">
              <w:rPr>
                <w:color w:val="000000"/>
                <w:sz w:val="24"/>
                <w:szCs w:val="22"/>
                <w:lang w:eastAsia="en-CA"/>
              </w:rPr>
              <w:t>6,416</w:t>
            </w:r>
          </w:p>
        </w:tc>
      </w:tr>
      <w:tr w:rsidR="00147534" w:rsidRPr="009818A2" w14:paraId="5335E549" w14:textId="77777777" w:rsidTr="009818A2">
        <w:trPr>
          <w:trHeight w:val="300"/>
        </w:trPr>
        <w:tc>
          <w:tcPr>
            <w:tcW w:w="6030" w:type="dxa"/>
            <w:shd w:val="clear" w:color="auto" w:fill="auto"/>
            <w:noWrap/>
            <w:vAlign w:val="center"/>
            <w:hideMark/>
          </w:tcPr>
          <w:p w14:paraId="3AF3D591" w14:textId="77777777" w:rsidR="00147534" w:rsidRPr="009818A2" w:rsidRDefault="00147534" w:rsidP="006122CE">
            <w:pPr>
              <w:overflowPunct/>
              <w:autoSpaceDE/>
              <w:autoSpaceDN/>
              <w:adjustRightInd/>
              <w:textAlignment w:val="auto"/>
              <w:rPr>
                <w:color w:val="000000"/>
                <w:sz w:val="24"/>
                <w:szCs w:val="22"/>
                <w:lang w:val="en-CA" w:eastAsia="en-CA"/>
              </w:rPr>
            </w:pPr>
            <w:r w:rsidRPr="009818A2">
              <w:rPr>
                <w:color w:val="000000"/>
                <w:sz w:val="24"/>
                <w:szCs w:val="22"/>
                <w:lang w:eastAsia="en-CA"/>
              </w:rPr>
              <w:t>Total Tier 2 Capital</w:t>
            </w:r>
          </w:p>
        </w:tc>
        <w:tc>
          <w:tcPr>
            <w:tcW w:w="2250" w:type="dxa"/>
            <w:shd w:val="clear" w:color="auto" w:fill="auto"/>
            <w:noWrap/>
            <w:vAlign w:val="center"/>
            <w:hideMark/>
          </w:tcPr>
          <w:p w14:paraId="375501E1" w14:textId="4DF3C7D1" w:rsidR="00147534" w:rsidRPr="00835C26" w:rsidRDefault="006C2CF9" w:rsidP="00EE0DF4">
            <w:pPr>
              <w:overflowPunct/>
              <w:autoSpaceDE/>
              <w:autoSpaceDN/>
              <w:adjustRightInd/>
              <w:jc w:val="right"/>
              <w:textAlignment w:val="auto"/>
              <w:rPr>
                <w:color w:val="000000"/>
                <w:sz w:val="24"/>
                <w:szCs w:val="22"/>
                <w:lang w:val="en-CA" w:eastAsia="en-CA"/>
              </w:rPr>
            </w:pPr>
            <w:r>
              <w:rPr>
                <w:color w:val="000000"/>
                <w:sz w:val="24"/>
                <w:szCs w:val="22"/>
                <w:lang w:eastAsia="en-CA"/>
              </w:rPr>
              <w:t>903</w:t>
            </w:r>
            <w:r w:rsidR="005C5239">
              <w:rPr>
                <w:color w:val="000000"/>
                <w:sz w:val="24"/>
                <w:szCs w:val="22"/>
                <w:lang w:eastAsia="en-CA"/>
              </w:rPr>
              <w:t>,</w:t>
            </w:r>
            <w:r>
              <w:rPr>
                <w:color w:val="000000"/>
                <w:sz w:val="24"/>
                <w:szCs w:val="22"/>
                <w:lang w:eastAsia="en-CA"/>
              </w:rPr>
              <w:t>183</w:t>
            </w:r>
          </w:p>
        </w:tc>
      </w:tr>
      <w:tr w:rsidR="00147534" w:rsidRPr="009818A2" w14:paraId="13A3AB5A" w14:textId="77777777" w:rsidTr="009818A2">
        <w:trPr>
          <w:trHeight w:val="300"/>
        </w:trPr>
        <w:tc>
          <w:tcPr>
            <w:tcW w:w="6030" w:type="dxa"/>
            <w:shd w:val="clear" w:color="auto" w:fill="auto"/>
            <w:noWrap/>
            <w:vAlign w:val="center"/>
          </w:tcPr>
          <w:p w14:paraId="55AA0579" w14:textId="77777777" w:rsidR="00147534" w:rsidRPr="009818A2" w:rsidRDefault="00147534" w:rsidP="006122CE">
            <w:pPr>
              <w:overflowPunct/>
              <w:autoSpaceDE/>
              <w:autoSpaceDN/>
              <w:adjustRightInd/>
              <w:textAlignment w:val="auto"/>
              <w:rPr>
                <w:color w:val="000000"/>
                <w:sz w:val="24"/>
                <w:szCs w:val="22"/>
                <w:lang w:eastAsia="en-CA"/>
              </w:rPr>
            </w:pPr>
            <w:r w:rsidRPr="009E6AC6">
              <w:rPr>
                <w:color w:val="000000"/>
                <w:sz w:val="24"/>
                <w:szCs w:val="22"/>
                <w:lang w:eastAsia="en-CA"/>
              </w:rPr>
              <w:t>Of which Eligible as Tier 2 Capital</w:t>
            </w:r>
          </w:p>
        </w:tc>
        <w:tc>
          <w:tcPr>
            <w:tcW w:w="2250" w:type="dxa"/>
            <w:shd w:val="clear" w:color="auto" w:fill="auto"/>
            <w:noWrap/>
            <w:vAlign w:val="center"/>
          </w:tcPr>
          <w:p w14:paraId="76A0D8A2" w14:textId="33345473" w:rsidR="00147534" w:rsidRPr="00835C26" w:rsidRDefault="006C2CF9" w:rsidP="00EE0DF4">
            <w:pPr>
              <w:overflowPunct/>
              <w:autoSpaceDE/>
              <w:autoSpaceDN/>
              <w:adjustRightInd/>
              <w:jc w:val="right"/>
              <w:textAlignment w:val="auto"/>
              <w:rPr>
                <w:color w:val="000000"/>
                <w:sz w:val="24"/>
                <w:szCs w:val="22"/>
                <w:lang w:eastAsia="en-CA"/>
              </w:rPr>
            </w:pPr>
            <w:r>
              <w:rPr>
                <w:color w:val="000000"/>
                <w:sz w:val="24"/>
                <w:szCs w:val="22"/>
                <w:lang w:eastAsia="en-CA"/>
              </w:rPr>
              <w:t>903</w:t>
            </w:r>
            <w:r w:rsidR="005C5239">
              <w:rPr>
                <w:color w:val="000000"/>
                <w:sz w:val="24"/>
                <w:szCs w:val="22"/>
                <w:lang w:eastAsia="en-CA"/>
              </w:rPr>
              <w:t>,</w:t>
            </w:r>
            <w:r>
              <w:rPr>
                <w:color w:val="000000"/>
                <w:sz w:val="24"/>
                <w:szCs w:val="22"/>
                <w:lang w:eastAsia="en-CA"/>
              </w:rPr>
              <w:t>183</w:t>
            </w:r>
          </w:p>
        </w:tc>
      </w:tr>
    </w:tbl>
    <w:p w14:paraId="08F14FC6" w14:textId="77777777" w:rsidR="006122CE" w:rsidRPr="009818A2" w:rsidRDefault="006122CE" w:rsidP="00EC07BA">
      <w:pPr>
        <w:rPr>
          <w:sz w:val="24"/>
          <w:szCs w:val="22"/>
        </w:rPr>
      </w:pPr>
    </w:p>
    <w:p w14:paraId="2C8E1BA0" w14:textId="77777777" w:rsidR="009818A2" w:rsidRPr="009818A2" w:rsidRDefault="00EC07BA" w:rsidP="009818A2">
      <w:pPr>
        <w:pStyle w:val="ListParagraph"/>
        <w:numPr>
          <w:ilvl w:val="0"/>
          <w:numId w:val="8"/>
        </w:numPr>
        <w:tabs>
          <w:tab w:val="left" w:pos="1440"/>
        </w:tabs>
        <w:rPr>
          <w:sz w:val="24"/>
          <w:szCs w:val="22"/>
        </w:rPr>
      </w:pPr>
      <w:r w:rsidRPr="009818A2">
        <w:rPr>
          <w:sz w:val="24"/>
          <w:szCs w:val="22"/>
        </w:rPr>
        <w:t>Debt Capital Instruments Eligible for inclusion in Upper Tier 2 Capital</w:t>
      </w:r>
      <w:r w:rsidR="00E03DF9" w:rsidRPr="009818A2">
        <w:rPr>
          <w:sz w:val="24"/>
          <w:szCs w:val="22"/>
        </w:rPr>
        <w:t xml:space="preserve">   </w:t>
      </w:r>
    </w:p>
    <w:p w14:paraId="62C6818B" w14:textId="77777777" w:rsidR="006122CE" w:rsidRPr="009818A2" w:rsidRDefault="009818A2" w:rsidP="009818A2">
      <w:pPr>
        <w:pStyle w:val="ListParagraph"/>
        <w:tabs>
          <w:tab w:val="left" w:pos="1440"/>
        </w:tabs>
        <w:ind w:left="1440"/>
        <w:rPr>
          <w:sz w:val="24"/>
          <w:szCs w:val="22"/>
        </w:rPr>
      </w:pP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t xml:space="preserve">      </w:t>
      </w:r>
      <w:r w:rsidR="00757C07" w:rsidRPr="009818A2">
        <w:rPr>
          <w:sz w:val="24"/>
          <w:szCs w:val="22"/>
        </w:rPr>
        <w:t xml:space="preserve">(In </w:t>
      </w:r>
      <w:r w:rsidR="004418C3" w:rsidRPr="009818A2">
        <w:rPr>
          <w:sz w:val="24"/>
          <w:szCs w:val="22"/>
        </w:rPr>
        <w:t>Rs.000’s)</w:t>
      </w: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2250"/>
      </w:tblGrid>
      <w:tr w:rsidR="00EC07BA" w:rsidRPr="009818A2" w14:paraId="1A00A811" w14:textId="77777777" w:rsidTr="009818A2">
        <w:tc>
          <w:tcPr>
            <w:tcW w:w="6030" w:type="dxa"/>
          </w:tcPr>
          <w:p w14:paraId="7464A914" w14:textId="77777777" w:rsidR="00EC07BA" w:rsidRPr="009818A2" w:rsidRDefault="00EC07BA" w:rsidP="004C198E">
            <w:pPr>
              <w:jc w:val="both"/>
              <w:rPr>
                <w:sz w:val="24"/>
                <w:szCs w:val="22"/>
              </w:rPr>
            </w:pPr>
            <w:r w:rsidRPr="009818A2">
              <w:rPr>
                <w:sz w:val="24"/>
                <w:szCs w:val="22"/>
              </w:rPr>
              <w:t>Total Amount Outstanding</w:t>
            </w:r>
          </w:p>
        </w:tc>
        <w:tc>
          <w:tcPr>
            <w:tcW w:w="2250" w:type="dxa"/>
            <w:vAlign w:val="center"/>
          </w:tcPr>
          <w:p w14:paraId="54B76092" w14:textId="77777777" w:rsidR="00EC07BA" w:rsidRPr="009818A2" w:rsidRDefault="00EC07BA" w:rsidP="00E03DF9">
            <w:pPr>
              <w:ind w:right="180"/>
              <w:jc w:val="right"/>
              <w:rPr>
                <w:rStyle w:val="CommentReference"/>
                <w:sz w:val="24"/>
                <w:szCs w:val="22"/>
              </w:rPr>
            </w:pPr>
            <w:r w:rsidRPr="009818A2">
              <w:rPr>
                <w:rStyle w:val="CommentReference"/>
                <w:sz w:val="24"/>
                <w:szCs w:val="22"/>
              </w:rPr>
              <w:t>-</w:t>
            </w:r>
          </w:p>
        </w:tc>
      </w:tr>
      <w:tr w:rsidR="00EC07BA" w:rsidRPr="009818A2" w14:paraId="491A2DAE" w14:textId="77777777" w:rsidTr="009818A2">
        <w:tc>
          <w:tcPr>
            <w:tcW w:w="6030" w:type="dxa"/>
          </w:tcPr>
          <w:p w14:paraId="263C64A7" w14:textId="77777777" w:rsidR="00EC07BA" w:rsidRPr="009818A2" w:rsidRDefault="00EC07BA" w:rsidP="004C198E">
            <w:pPr>
              <w:jc w:val="both"/>
              <w:rPr>
                <w:sz w:val="24"/>
                <w:szCs w:val="22"/>
              </w:rPr>
            </w:pPr>
            <w:r w:rsidRPr="009818A2">
              <w:rPr>
                <w:sz w:val="24"/>
                <w:szCs w:val="22"/>
              </w:rPr>
              <w:t xml:space="preserve">   of which amount raised during the current year</w:t>
            </w:r>
          </w:p>
        </w:tc>
        <w:tc>
          <w:tcPr>
            <w:tcW w:w="2250" w:type="dxa"/>
            <w:vAlign w:val="center"/>
          </w:tcPr>
          <w:p w14:paraId="75EE114A" w14:textId="77777777" w:rsidR="00EC07BA" w:rsidRPr="009818A2" w:rsidRDefault="00EC07BA" w:rsidP="00E03DF9">
            <w:pPr>
              <w:ind w:right="180"/>
              <w:jc w:val="right"/>
              <w:rPr>
                <w:rStyle w:val="CommentReference"/>
                <w:sz w:val="24"/>
                <w:szCs w:val="22"/>
              </w:rPr>
            </w:pPr>
            <w:r w:rsidRPr="009818A2">
              <w:rPr>
                <w:rStyle w:val="CommentReference"/>
                <w:sz w:val="24"/>
                <w:szCs w:val="22"/>
              </w:rPr>
              <w:t>-</w:t>
            </w:r>
          </w:p>
        </w:tc>
      </w:tr>
      <w:tr w:rsidR="00EC07BA" w:rsidRPr="009818A2" w14:paraId="14E21368" w14:textId="77777777" w:rsidTr="009818A2">
        <w:tc>
          <w:tcPr>
            <w:tcW w:w="6030" w:type="dxa"/>
          </w:tcPr>
          <w:p w14:paraId="0C575856" w14:textId="77777777" w:rsidR="00EC07BA" w:rsidRPr="009818A2" w:rsidRDefault="00EC07BA" w:rsidP="004C198E">
            <w:pPr>
              <w:jc w:val="both"/>
              <w:rPr>
                <w:sz w:val="24"/>
                <w:szCs w:val="22"/>
              </w:rPr>
            </w:pPr>
            <w:r w:rsidRPr="009818A2">
              <w:rPr>
                <w:sz w:val="24"/>
                <w:szCs w:val="22"/>
              </w:rPr>
              <w:t xml:space="preserve">Amount eligible to be reckoned as capital funds </w:t>
            </w:r>
          </w:p>
        </w:tc>
        <w:tc>
          <w:tcPr>
            <w:tcW w:w="2250" w:type="dxa"/>
            <w:vAlign w:val="center"/>
          </w:tcPr>
          <w:p w14:paraId="0DE492D8" w14:textId="77777777" w:rsidR="00EC07BA" w:rsidRPr="009818A2" w:rsidRDefault="00EC07BA" w:rsidP="00E03DF9">
            <w:pPr>
              <w:ind w:right="180"/>
              <w:jc w:val="right"/>
              <w:rPr>
                <w:rStyle w:val="CommentReference"/>
                <w:sz w:val="24"/>
                <w:szCs w:val="22"/>
              </w:rPr>
            </w:pPr>
            <w:r w:rsidRPr="009818A2">
              <w:rPr>
                <w:rStyle w:val="CommentReference"/>
                <w:sz w:val="24"/>
                <w:szCs w:val="22"/>
              </w:rPr>
              <w:t>-</w:t>
            </w:r>
          </w:p>
        </w:tc>
      </w:tr>
    </w:tbl>
    <w:p w14:paraId="525F6A77" w14:textId="31843AF6" w:rsidR="005A035A" w:rsidRDefault="005A035A">
      <w:pPr>
        <w:overflowPunct/>
        <w:autoSpaceDE/>
        <w:autoSpaceDN/>
        <w:adjustRightInd/>
        <w:spacing w:after="200" w:line="276" w:lineRule="auto"/>
        <w:textAlignment w:val="auto"/>
        <w:rPr>
          <w:sz w:val="24"/>
          <w:szCs w:val="22"/>
        </w:rPr>
      </w:pPr>
    </w:p>
    <w:p w14:paraId="22310059" w14:textId="4FFA5A1A" w:rsidR="009818A2" w:rsidRDefault="00EC07BA" w:rsidP="009818A2">
      <w:pPr>
        <w:pStyle w:val="ListParagraph"/>
        <w:numPr>
          <w:ilvl w:val="0"/>
          <w:numId w:val="8"/>
        </w:numPr>
        <w:tabs>
          <w:tab w:val="left" w:pos="1440"/>
        </w:tabs>
        <w:ind w:right="-180"/>
        <w:rPr>
          <w:sz w:val="24"/>
          <w:szCs w:val="22"/>
        </w:rPr>
      </w:pPr>
      <w:r w:rsidRPr="009818A2">
        <w:rPr>
          <w:sz w:val="24"/>
          <w:szCs w:val="22"/>
        </w:rPr>
        <w:t>Subordinated Debt Eligible for inclusion in Lower Tier 2 Capital</w:t>
      </w:r>
      <w:r w:rsidRPr="009818A2">
        <w:rPr>
          <w:sz w:val="24"/>
          <w:szCs w:val="22"/>
        </w:rPr>
        <w:tab/>
        <w:t xml:space="preserve">  </w:t>
      </w:r>
      <w:r w:rsidR="004C198E" w:rsidRPr="009818A2">
        <w:rPr>
          <w:sz w:val="24"/>
          <w:szCs w:val="22"/>
        </w:rPr>
        <w:t xml:space="preserve"> </w:t>
      </w:r>
      <w:r w:rsidR="009818A2">
        <w:rPr>
          <w:sz w:val="24"/>
          <w:szCs w:val="22"/>
        </w:rPr>
        <w:t xml:space="preserve">    </w:t>
      </w:r>
    </w:p>
    <w:p w14:paraId="4CE72036" w14:textId="77777777" w:rsidR="00EC07BA" w:rsidRPr="009818A2" w:rsidRDefault="009818A2" w:rsidP="009818A2">
      <w:pPr>
        <w:tabs>
          <w:tab w:val="left" w:pos="1440"/>
        </w:tabs>
        <w:ind w:left="5040" w:right="-180"/>
        <w:rPr>
          <w:sz w:val="24"/>
          <w:szCs w:val="22"/>
        </w:rPr>
      </w:pP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t xml:space="preserve">   </w:t>
      </w:r>
      <w:r w:rsidR="004C198E" w:rsidRPr="009818A2">
        <w:rPr>
          <w:sz w:val="24"/>
          <w:szCs w:val="22"/>
        </w:rPr>
        <w:t xml:space="preserve"> </w:t>
      </w:r>
      <w:r w:rsidRPr="009818A2">
        <w:rPr>
          <w:sz w:val="24"/>
          <w:szCs w:val="22"/>
        </w:rPr>
        <w:tab/>
        <w:t xml:space="preserve">   </w:t>
      </w:r>
      <w:r>
        <w:rPr>
          <w:sz w:val="24"/>
          <w:szCs w:val="22"/>
        </w:rPr>
        <w:t xml:space="preserve">  </w:t>
      </w:r>
      <w:r w:rsidRPr="009818A2">
        <w:rPr>
          <w:sz w:val="24"/>
          <w:szCs w:val="22"/>
        </w:rPr>
        <w:t xml:space="preserve"> </w:t>
      </w:r>
      <w:r w:rsidR="00EC07BA" w:rsidRPr="009818A2">
        <w:rPr>
          <w:sz w:val="24"/>
          <w:szCs w:val="22"/>
        </w:rPr>
        <w:t>(</w:t>
      </w:r>
      <w:r w:rsidR="00757C07" w:rsidRPr="009818A2">
        <w:rPr>
          <w:sz w:val="24"/>
          <w:szCs w:val="22"/>
        </w:rPr>
        <w:t xml:space="preserve">In </w:t>
      </w:r>
      <w:r w:rsidR="00EC07BA" w:rsidRPr="009818A2">
        <w:rPr>
          <w:sz w:val="24"/>
          <w:szCs w:val="22"/>
        </w:rPr>
        <w:t>Rs.000</w:t>
      </w:r>
      <w:r w:rsidR="00DF1CD2" w:rsidRPr="009818A2">
        <w:rPr>
          <w:sz w:val="24"/>
          <w:szCs w:val="22"/>
        </w:rPr>
        <w:t>’</w:t>
      </w:r>
      <w:r w:rsidR="00EC07BA" w:rsidRPr="009818A2">
        <w:rPr>
          <w:sz w:val="24"/>
          <w:szCs w:val="22"/>
        </w:rPr>
        <w:t>s)</w:t>
      </w: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2250"/>
      </w:tblGrid>
      <w:tr w:rsidR="00EC07BA" w:rsidRPr="009818A2" w14:paraId="7A18D144" w14:textId="77777777" w:rsidTr="009818A2">
        <w:tc>
          <w:tcPr>
            <w:tcW w:w="6030" w:type="dxa"/>
          </w:tcPr>
          <w:p w14:paraId="59CB9534" w14:textId="77777777" w:rsidR="00EC07BA" w:rsidRPr="009818A2" w:rsidRDefault="00EC07BA" w:rsidP="00EC07BA">
            <w:pPr>
              <w:rPr>
                <w:sz w:val="24"/>
                <w:szCs w:val="22"/>
              </w:rPr>
            </w:pPr>
            <w:r w:rsidRPr="009818A2">
              <w:rPr>
                <w:sz w:val="24"/>
                <w:szCs w:val="22"/>
              </w:rPr>
              <w:t>Total amount outstanding</w:t>
            </w:r>
          </w:p>
        </w:tc>
        <w:tc>
          <w:tcPr>
            <w:tcW w:w="2250" w:type="dxa"/>
            <w:vAlign w:val="center"/>
          </w:tcPr>
          <w:p w14:paraId="7227C0B5" w14:textId="77777777" w:rsidR="00EC07BA" w:rsidRPr="009818A2" w:rsidRDefault="00FC160F" w:rsidP="002D6597">
            <w:pPr>
              <w:jc w:val="right"/>
              <w:rPr>
                <w:rStyle w:val="CommentReference"/>
                <w:sz w:val="24"/>
                <w:szCs w:val="22"/>
              </w:rPr>
            </w:pPr>
            <w:r w:rsidRPr="009818A2">
              <w:rPr>
                <w:rStyle w:val="CommentReference"/>
                <w:sz w:val="24"/>
                <w:szCs w:val="22"/>
              </w:rPr>
              <w:t>-</w:t>
            </w:r>
          </w:p>
        </w:tc>
      </w:tr>
      <w:tr w:rsidR="00EC07BA" w:rsidRPr="009818A2" w14:paraId="226BE568" w14:textId="77777777" w:rsidTr="009818A2">
        <w:tc>
          <w:tcPr>
            <w:tcW w:w="6030" w:type="dxa"/>
          </w:tcPr>
          <w:p w14:paraId="2521251A" w14:textId="77777777" w:rsidR="00EC07BA" w:rsidRPr="009818A2" w:rsidRDefault="00EC07BA" w:rsidP="00EC07BA">
            <w:pPr>
              <w:rPr>
                <w:sz w:val="24"/>
                <w:szCs w:val="22"/>
              </w:rPr>
            </w:pPr>
            <w:r w:rsidRPr="009818A2">
              <w:rPr>
                <w:sz w:val="24"/>
                <w:szCs w:val="22"/>
              </w:rPr>
              <w:t>of which amount raised during the current year</w:t>
            </w:r>
          </w:p>
        </w:tc>
        <w:tc>
          <w:tcPr>
            <w:tcW w:w="2250" w:type="dxa"/>
            <w:vAlign w:val="center"/>
          </w:tcPr>
          <w:p w14:paraId="0399129E" w14:textId="77777777" w:rsidR="00EC07BA" w:rsidRPr="009818A2" w:rsidRDefault="00EC07BA" w:rsidP="002D6597">
            <w:pPr>
              <w:jc w:val="right"/>
              <w:rPr>
                <w:rStyle w:val="CommentReference"/>
                <w:sz w:val="24"/>
                <w:szCs w:val="22"/>
              </w:rPr>
            </w:pPr>
            <w:r w:rsidRPr="009818A2">
              <w:rPr>
                <w:rStyle w:val="CommentReference"/>
                <w:sz w:val="24"/>
                <w:szCs w:val="22"/>
              </w:rPr>
              <w:t>-</w:t>
            </w:r>
          </w:p>
        </w:tc>
      </w:tr>
      <w:tr w:rsidR="00EC07BA" w:rsidRPr="009818A2" w14:paraId="77A4F32C" w14:textId="77777777" w:rsidTr="009818A2">
        <w:tc>
          <w:tcPr>
            <w:tcW w:w="6030" w:type="dxa"/>
          </w:tcPr>
          <w:p w14:paraId="204C8E7D" w14:textId="77777777" w:rsidR="00EC07BA" w:rsidRPr="009818A2" w:rsidRDefault="00EC07BA" w:rsidP="00EC07BA">
            <w:pPr>
              <w:rPr>
                <w:sz w:val="24"/>
                <w:szCs w:val="22"/>
              </w:rPr>
            </w:pPr>
            <w:r w:rsidRPr="009818A2">
              <w:rPr>
                <w:sz w:val="24"/>
                <w:szCs w:val="22"/>
              </w:rPr>
              <w:t xml:space="preserve">Amount eligible to be reckoned as capital funds </w:t>
            </w:r>
          </w:p>
        </w:tc>
        <w:tc>
          <w:tcPr>
            <w:tcW w:w="2250" w:type="dxa"/>
            <w:vAlign w:val="center"/>
          </w:tcPr>
          <w:p w14:paraId="340324BB" w14:textId="77777777" w:rsidR="00EC07BA" w:rsidRPr="009818A2" w:rsidRDefault="00883862" w:rsidP="002D6597">
            <w:pPr>
              <w:jc w:val="right"/>
              <w:rPr>
                <w:rStyle w:val="CommentReference"/>
                <w:sz w:val="24"/>
                <w:szCs w:val="22"/>
              </w:rPr>
            </w:pPr>
            <w:r w:rsidRPr="009818A2">
              <w:rPr>
                <w:rStyle w:val="CommentReference"/>
                <w:sz w:val="24"/>
                <w:szCs w:val="22"/>
              </w:rPr>
              <w:t>-</w:t>
            </w:r>
          </w:p>
        </w:tc>
      </w:tr>
    </w:tbl>
    <w:p w14:paraId="0E11C5A4" w14:textId="77777777" w:rsidR="00CD36C6" w:rsidRPr="009818A2" w:rsidRDefault="00CD36C6" w:rsidP="00CD36C6">
      <w:pPr>
        <w:pStyle w:val="ListParagraph"/>
        <w:tabs>
          <w:tab w:val="left" w:pos="720"/>
          <w:tab w:val="left" w:pos="810"/>
          <w:tab w:val="left" w:pos="900"/>
        </w:tabs>
        <w:ind w:left="1440"/>
        <w:jc w:val="both"/>
        <w:rPr>
          <w:sz w:val="24"/>
          <w:szCs w:val="22"/>
        </w:rPr>
      </w:pPr>
    </w:p>
    <w:p w14:paraId="6C2F6A57" w14:textId="77777777" w:rsidR="005A035A" w:rsidRDefault="005A035A">
      <w:pPr>
        <w:overflowPunct/>
        <w:autoSpaceDE/>
        <w:autoSpaceDN/>
        <w:adjustRightInd/>
        <w:spacing w:after="200" w:line="276" w:lineRule="auto"/>
        <w:textAlignment w:val="auto"/>
        <w:rPr>
          <w:sz w:val="24"/>
          <w:szCs w:val="22"/>
        </w:rPr>
      </w:pPr>
      <w:r>
        <w:rPr>
          <w:sz w:val="24"/>
          <w:szCs w:val="22"/>
        </w:rPr>
        <w:br w:type="page"/>
      </w:r>
    </w:p>
    <w:p w14:paraId="5AD7D25C" w14:textId="540202BA" w:rsidR="00EC07BA" w:rsidRPr="009818A2" w:rsidRDefault="00EC07BA" w:rsidP="00EC07BA">
      <w:pPr>
        <w:tabs>
          <w:tab w:val="left" w:pos="1440"/>
        </w:tabs>
        <w:ind w:left="1440" w:hanging="720"/>
        <w:rPr>
          <w:sz w:val="24"/>
          <w:szCs w:val="22"/>
        </w:rPr>
      </w:pPr>
      <w:r w:rsidRPr="009818A2">
        <w:rPr>
          <w:sz w:val="24"/>
          <w:szCs w:val="22"/>
        </w:rPr>
        <w:lastRenderedPageBreak/>
        <w:t>(</w:t>
      </w:r>
      <w:r w:rsidR="00F97D13">
        <w:rPr>
          <w:sz w:val="24"/>
          <w:szCs w:val="22"/>
        </w:rPr>
        <w:t>e)</w:t>
      </w:r>
      <w:r w:rsidR="00F97D13">
        <w:rPr>
          <w:sz w:val="24"/>
          <w:szCs w:val="22"/>
        </w:rPr>
        <w:tab/>
        <w:t>Other deduction from capital</w:t>
      </w:r>
    </w:p>
    <w:p w14:paraId="24ADEC97" w14:textId="77777777" w:rsidR="00EC07BA" w:rsidRDefault="00EC07BA" w:rsidP="00EC07BA">
      <w:pPr>
        <w:ind w:left="1440"/>
        <w:rPr>
          <w:sz w:val="24"/>
          <w:szCs w:val="22"/>
        </w:rPr>
      </w:pPr>
      <w:r w:rsidRPr="009818A2">
        <w:rPr>
          <w:sz w:val="24"/>
          <w:szCs w:val="22"/>
        </w:rPr>
        <w:t>There are no other deductions from capital.</w:t>
      </w:r>
    </w:p>
    <w:p w14:paraId="7E119476" w14:textId="77777777" w:rsidR="009818A2" w:rsidRPr="009818A2" w:rsidRDefault="009818A2" w:rsidP="00EC07BA">
      <w:pPr>
        <w:ind w:left="1440"/>
        <w:rPr>
          <w:sz w:val="24"/>
          <w:szCs w:val="22"/>
        </w:rPr>
      </w:pPr>
    </w:p>
    <w:p w14:paraId="03796416" w14:textId="77777777" w:rsidR="00EC07BA" w:rsidRPr="009818A2" w:rsidRDefault="00EC07BA" w:rsidP="00EC07BA">
      <w:pPr>
        <w:tabs>
          <w:tab w:val="left" w:pos="1440"/>
        </w:tabs>
        <w:ind w:left="1440" w:hanging="720"/>
        <w:rPr>
          <w:sz w:val="24"/>
          <w:szCs w:val="24"/>
        </w:rPr>
      </w:pPr>
      <w:r w:rsidRPr="009818A2">
        <w:rPr>
          <w:sz w:val="24"/>
          <w:szCs w:val="22"/>
        </w:rPr>
        <w:t>(f)</w:t>
      </w:r>
      <w:r w:rsidRPr="009818A2">
        <w:rPr>
          <w:sz w:val="24"/>
          <w:szCs w:val="22"/>
        </w:rPr>
        <w:tab/>
      </w:r>
      <w:r w:rsidRPr="009818A2">
        <w:rPr>
          <w:sz w:val="24"/>
          <w:szCs w:val="24"/>
        </w:rPr>
        <w:t xml:space="preserve">Total Eligible Capital </w:t>
      </w:r>
    </w:p>
    <w:p w14:paraId="63016526" w14:textId="5D4BE33E" w:rsidR="00EC07BA" w:rsidRPr="001D70E9" w:rsidRDefault="00EC07BA" w:rsidP="00EC07BA">
      <w:pPr>
        <w:ind w:left="1440"/>
        <w:rPr>
          <w:sz w:val="22"/>
          <w:szCs w:val="22"/>
        </w:rPr>
      </w:pPr>
      <w:r w:rsidRPr="009818A2">
        <w:rPr>
          <w:sz w:val="24"/>
          <w:szCs w:val="24"/>
        </w:rPr>
        <w:t>The total eligible capital is Rs</w:t>
      </w:r>
      <w:r w:rsidR="00993DF5" w:rsidRPr="009818A2">
        <w:rPr>
          <w:sz w:val="24"/>
          <w:szCs w:val="24"/>
        </w:rPr>
        <w:t>.</w:t>
      </w:r>
      <w:r w:rsidRPr="009818A2">
        <w:rPr>
          <w:sz w:val="24"/>
          <w:szCs w:val="24"/>
        </w:rPr>
        <w:t xml:space="preserve"> </w:t>
      </w:r>
      <w:r w:rsidR="006C2CF9">
        <w:rPr>
          <w:sz w:val="24"/>
          <w:szCs w:val="24"/>
        </w:rPr>
        <w:t>18</w:t>
      </w:r>
      <w:r w:rsidR="00E871D8">
        <w:rPr>
          <w:sz w:val="24"/>
          <w:szCs w:val="24"/>
        </w:rPr>
        <w:t>,</w:t>
      </w:r>
      <w:r w:rsidR="006C2CF9">
        <w:rPr>
          <w:sz w:val="24"/>
          <w:szCs w:val="24"/>
        </w:rPr>
        <w:t>012</w:t>
      </w:r>
      <w:r w:rsidR="005C5239">
        <w:rPr>
          <w:sz w:val="24"/>
          <w:szCs w:val="24"/>
        </w:rPr>
        <w:t>,</w:t>
      </w:r>
      <w:r w:rsidR="006C2CF9">
        <w:rPr>
          <w:sz w:val="24"/>
          <w:szCs w:val="24"/>
        </w:rPr>
        <w:t xml:space="preserve">177 </w:t>
      </w:r>
      <w:r w:rsidR="00F536AF">
        <w:rPr>
          <w:sz w:val="24"/>
          <w:szCs w:val="24"/>
        </w:rPr>
        <w:t>thousands</w:t>
      </w:r>
      <w:r w:rsidRPr="009818A2">
        <w:rPr>
          <w:sz w:val="24"/>
          <w:szCs w:val="24"/>
        </w:rPr>
        <w:t>.</w:t>
      </w:r>
    </w:p>
    <w:p w14:paraId="479255BF" w14:textId="77777777" w:rsidR="00EC07BA" w:rsidRPr="001D70E9" w:rsidRDefault="00EC07BA" w:rsidP="00EC07BA">
      <w:pPr>
        <w:rPr>
          <w:sz w:val="22"/>
          <w:szCs w:val="22"/>
        </w:rPr>
      </w:pPr>
    </w:p>
    <w:p w14:paraId="53F04C4A" w14:textId="77777777" w:rsidR="00EC07BA" w:rsidRPr="009818A2" w:rsidRDefault="00162A44" w:rsidP="00AF141A">
      <w:pPr>
        <w:numPr>
          <w:ilvl w:val="0"/>
          <w:numId w:val="7"/>
        </w:numPr>
        <w:tabs>
          <w:tab w:val="clear" w:pos="1800"/>
          <w:tab w:val="num" w:pos="720"/>
        </w:tabs>
        <w:overflowPunct/>
        <w:autoSpaceDE/>
        <w:autoSpaceDN/>
        <w:adjustRightInd/>
        <w:ind w:left="720" w:hanging="720"/>
        <w:textAlignment w:val="auto"/>
        <w:rPr>
          <w:b/>
          <w:sz w:val="24"/>
          <w:szCs w:val="22"/>
        </w:rPr>
      </w:pPr>
      <w:r w:rsidRPr="009818A2">
        <w:rPr>
          <w:b/>
          <w:sz w:val="24"/>
          <w:szCs w:val="22"/>
        </w:rPr>
        <w:t xml:space="preserve">DF- 2: </w:t>
      </w:r>
      <w:r w:rsidR="00EC07BA" w:rsidRPr="009818A2">
        <w:rPr>
          <w:b/>
          <w:sz w:val="24"/>
          <w:szCs w:val="22"/>
        </w:rPr>
        <w:t>Capital Adequacy</w:t>
      </w:r>
      <w:r w:rsidRPr="009818A2">
        <w:rPr>
          <w:b/>
          <w:sz w:val="24"/>
          <w:szCs w:val="22"/>
        </w:rPr>
        <w:t xml:space="preserve"> </w:t>
      </w:r>
    </w:p>
    <w:p w14:paraId="44AB8CCC" w14:textId="77777777" w:rsidR="00EC07BA" w:rsidRPr="009818A2" w:rsidRDefault="00EC07BA" w:rsidP="00EC07BA">
      <w:pPr>
        <w:ind w:firstLine="720"/>
        <w:rPr>
          <w:b/>
          <w:sz w:val="24"/>
          <w:szCs w:val="22"/>
        </w:rPr>
      </w:pPr>
      <w:r w:rsidRPr="009818A2">
        <w:rPr>
          <w:b/>
          <w:sz w:val="24"/>
          <w:szCs w:val="22"/>
        </w:rPr>
        <w:t>Qualitative Disclosures</w:t>
      </w:r>
    </w:p>
    <w:p w14:paraId="044546C1" w14:textId="77777777" w:rsidR="00EC07BA" w:rsidRPr="009818A2" w:rsidRDefault="00EC07BA" w:rsidP="00EC07BA">
      <w:pPr>
        <w:ind w:left="720"/>
        <w:jc w:val="both"/>
        <w:rPr>
          <w:sz w:val="24"/>
          <w:szCs w:val="22"/>
        </w:rPr>
      </w:pPr>
      <w:r w:rsidRPr="009818A2">
        <w:rPr>
          <w:sz w:val="24"/>
          <w:szCs w:val="22"/>
        </w:rPr>
        <w:t xml:space="preserve">As part of the Bank’s capital management program, sources and uses of capital are continuously assessed and monitored. The Bank deploys capital to support sustainable, long-term revenue and net income growth. Capital is managed using regulatory thresholds. </w:t>
      </w:r>
    </w:p>
    <w:p w14:paraId="70B80904" w14:textId="77777777" w:rsidR="00EC07BA" w:rsidRPr="009818A2" w:rsidRDefault="00EC07BA" w:rsidP="00EC07BA">
      <w:pPr>
        <w:ind w:left="720"/>
        <w:jc w:val="both"/>
        <w:rPr>
          <w:sz w:val="24"/>
          <w:szCs w:val="22"/>
        </w:rPr>
      </w:pPr>
    </w:p>
    <w:p w14:paraId="5F3ED36A" w14:textId="77777777" w:rsidR="00EC07BA" w:rsidRPr="009818A2" w:rsidRDefault="00EC07BA" w:rsidP="00EC07BA">
      <w:pPr>
        <w:ind w:left="720"/>
        <w:jc w:val="both"/>
        <w:rPr>
          <w:sz w:val="24"/>
          <w:szCs w:val="22"/>
        </w:rPr>
      </w:pPr>
      <w:r w:rsidRPr="009818A2">
        <w:rPr>
          <w:sz w:val="24"/>
          <w:szCs w:val="22"/>
        </w:rPr>
        <w:t>In managing the Bank’s capital base, attention is paid to the cost and availability of the various types of capital, desired leverage, changes in the balance sheet and risk-weighted assets and the opportunities to profitably deploy capital. The amount of capital required for the business risks being assumed, and to meet regulatory requirements, is always balanced against the goal of generating an appropriate return.</w:t>
      </w:r>
    </w:p>
    <w:p w14:paraId="0841782E" w14:textId="77777777" w:rsidR="004C198E" w:rsidRPr="009818A2" w:rsidRDefault="004C198E" w:rsidP="004C198E">
      <w:pPr>
        <w:ind w:left="720"/>
        <w:jc w:val="both"/>
        <w:rPr>
          <w:sz w:val="24"/>
          <w:szCs w:val="22"/>
        </w:rPr>
      </w:pPr>
    </w:p>
    <w:p w14:paraId="52AC3B0D" w14:textId="43599F1C" w:rsidR="00EC07BA" w:rsidRPr="009818A2" w:rsidRDefault="00EC07BA" w:rsidP="004C198E">
      <w:pPr>
        <w:ind w:left="720"/>
        <w:jc w:val="both"/>
        <w:rPr>
          <w:sz w:val="24"/>
          <w:szCs w:val="22"/>
        </w:rPr>
      </w:pPr>
      <w:r w:rsidRPr="009818A2">
        <w:rPr>
          <w:sz w:val="24"/>
          <w:szCs w:val="22"/>
        </w:rPr>
        <w:t>The Bank’s capital management framework includes a comprehensive Internal Capital Adequacy Assessment Process (ICAAP), aimed at ensuring that the Bank’s capital is adequate to meet current and future risk. Key components of the Bank’s ICAAP include sound corporate governance; establishing risk</w:t>
      </w:r>
      <w:r w:rsidR="006C2CF9">
        <w:rPr>
          <w:sz w:val="24"/>
          <w:szCs w:val="22"/>
        </w:rPr>
        <w:t xml:space="preserve"> </w:t>
      </w:r>
      <w:r w:rsidRPr="009818A2">
        <w:rPr>
          <w:sz w:val="24"/>
          <w:szCs w:val="22"/>
        </w:rPr>
        <w:t xml:space="preserve">based capital targets; managing and monitoring capital, both currently and prospectively; and utilizing appropriate financial metrics which relate risk to capital. The ICAAP document is reviewed annually. </w:t>
      </w:r>
    </w:p>
    <w:p w14:paraId="3462405C" w14:textId="77777777" w:rsidR="00891A21" w:rsidRPr="009818A2" w:rsidRDefault="00891A21" w:rsidP="00EC07BA">
      <w:pPr>
        <w:ind w:left="720"/>
        <w:rPr>
          <w:b/>
          <w:sz w:val="24"/>
          <w:szCs w:val="22"/>
        </w:rPr>
      </w:pPr>
    </w:p>
    <w:p w14:paraId="384BCCB5" w14:textId="77777777" w:rsidR="00EC07BA" w:rsidRPr="009818A2" w:rsidRDefault="004418C3" w:rsidP="009818A2">
      <w:pPr>
        <w:ind w:right="-90"/>
        <w:rPr>
          <w:b/>
          <w:sz w:val="24"/>
          <w:szCs w:val="22"/>
        </w:rPr>
      </w:pPr>
      <w:r w:rsidRPr="009818A2">
        <w:rPr>
          <w:b/>
          <w:sz w:val="24"/>
          <w:szCs w:val="22"/>
        </w:rPr>
        <w:t xml:space="preserve">              </w:t>
      </w:r>
      <w:r w:rsidR="00EC07BA" w:rsidRPr="009818A2">
        <w:rPr>
          <w:b/>
          <w:sz w:val="24"/>
          <w:szCs w:val="22"/>
        </w:rPr>
        <w:t>Quantitative Disclosures</w:t>
      </w:r>
      <w:r w:rsidR="00EC07BA" w:rsidRPr="009818A2">
        <w:rPr>
          <w:b/>
          <w:sz w:val="24"/>
          <w:szCs w:val="22"/>
        </w:rPr>
        <w:tab/>
      </w:r>
      <w:r w:rsidRPr="009818A2">
        <w:rPr>
          <w:b/>
          <w:sz w:val="24"/>
          <w:szCs w:val="22"/>
        </w:rPr>
        <w:t xml:space="preserve">                                                                                   </w:t>
      </w:r>
      <w:r w:rsidRPr="009818A2">
        <w:rPr>
          <w:sz w:val="24"/>
          <w:szCs w:val="22"/>
        </w:rPr>
        <w:t>(</w:t>
      </w:r>
      <w:r w:rsidR="00757C07" w:rsidRPr="009818A2">
        <w:rPr>
          <w:sz w:val="24"/>
          <w:szCs w:val="22"/>
        </w:rPr>
        <w:t xml:space="preserve">In </w:t>
      </w:r>
      <w:r w:rsidRPr="009818A2">
        <w:rPr>
          <w:sz w:val="24"/>
          <w:szCs w:val="22"/>
        </w:rPr>
        <w:t>Rs.000’s)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0"/>
        <w:gridCol w:w="2250"/>
      </w:tblGrid>
      <w:tr w:rsidR="00891A21" w:rsidRPr="009818A2" w14:paraId="4CB3B6E0" w14:textId="77777777" w:rsidTr="009818A2">
        <w:trPr>
          <w:trHeight w:val="300"/>
        </w:trPr>
        <w:tc>
          <w:tcPr>
            <w:tcW w:w="6660" w:type="dxa"/>
            <w:shd w:val="clear" w:color="auto" w:fill="auto"/>
            <w:noWrap/>
            <w:vAlign w:val="center"/>
            <w:hideMark/>
          </w:tcPr>
          <w:p w14:paraId="4EF919F0"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(a) Capital Requirements for Credit Risk:</w:t>
            </w:r>
          </w:p>
        </w:tc>
        <w:tc>
          <w:tcPr>
            <w:tcW w:w="2250" w:type="dxa"/>
            <w:shd w:val="clear" w:color="auto" w:fill="auto"/>
            <w:noWrap/>
            <w:vAlign w:val="center"/>
            <w:hideMark/>
          </w:tcPr>
          <w:p w14:paraId="4564F264"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val="en-CA" w:eastAsia="en-CA"/>
              </w:rPr>
              <w:t> </w:t>
            </w:r>
          </w:p>
        </w:tc>
      </w:tr>
      <w:tr w:rsidR="00891A21" w:rsidRPr="009818A2" w14:paraId="124BBB4D" w14:textId="77777777" w:rsidTr="009818A2">
        <w:trPr>
          <w:trHeight w:val="300"/>
        </w:trPr>
        <w:tc>
          <w:tcPr>
            <w:tcW w:w="6660" w:type="dxa"/>
            <w:shd w:val="clear" w:color="auto" w:fill="auto"/>
            <w:noWrap/>
            <w:vAlign w:val="center"/>
            <w:hideMark/>
          </w:tcPr>
          <w:p w14:paraId="257B9355"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Portfolios subject to Standardised Approach</w:t>
            </w:r>
          </w:p>
        </w:tc>
        <w:tc>
          <w:tcPr>
            <w:tcW w:w="2250" w:type="dxa"/>
            <w:shd w:val="clear" w:color="auto" w:fill="auto"/>
            <w:noWrap/>
            <w:vAlign w:val="center"/>
            <w:hideMark/>
          </w:tcPr>
          <w:p w14:paraId="10CFE332" w14:textId="3CA04102" w:rsidR="00891A21" w:rsidRPr="005C5239" w:rsidRDefault="00E871D8" w:rsidP="005C5239">
            <w:pPr>
              <w:overflowPunct/>
              <w:autoSpaceDE/>
              <w:autoSpaceDN/>
              <w:adjustRightInd/>
              <w:jc w:val="right"/>
              <w:textAlignment w:val="auto"/>
              <w:rPr>
                <w:color w:val="000000"/>
                <w:sz w:val="24"/>
                <w:szCs w:val="22"/>
                <w:lang w:eastAsia="en-CA"/>
              </w:rPr>
            </w:pPr>
            <w:r>
              <w:rPr>
                <w:color w:val="000000"/>
                <w:sz w:val="24"/>
                <w:szCs w:val="22"/>
                <w:lang w:eastAsia="en-CA"/>
              </w:rPr>
              <w:t>5,24</w:t>
            </w:r>
            <w:r w:rsidR="005C5239">
              <w:rPr>
                <w:color w:val="000000"/>
                <w:sz w:val="24"/>
                <w:szCs w:val="22"/>
                <w:lang w:eastAsia="en-CA"/>
              </w:rPr>
              <w:t>8,502</w:t>
            </w:r>
          </w:p>
        </w:tc>
      </w:tr>
      <w:tr w:rsidR="00891A21" w:rsidRPr="009818A2" w14:paraId="31CDA971" w14:textId="77777777" w:rsidTr="009818A2">
        <w:trPr>
          <w:trHeight w:val="300"/>
        </w:trPr>
        <w:tc>
          <w:tcPr>
            <w:tcW w:w="6660" w:type="dxa"/>
            <w:shd w:val="clear" w:color="auto" w:fill="auto"/>
            <w:noWrap/>
            <w:vAlign w:val="center"/>
            <w:hideMark/>
          </w:tcPr>
          <w:p w14:paraId="7E5D2D0B"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Securitisation Exposures</w:t>
            </w:r>
          </w:p>
        </w:tc>
        <w:tc>
          <w:tcPr>
            <w:tcW w:w="2250" w:type="dxa"/>
            <w:shd w:val="clear" w:color="auto" w:fill="auto"/>
            <w:noWrap/>
            <w:vAlign w:val="center"/>
            <w:hideMark/>
          </w:tcPr>
          <w:p w14:paraId="5796086A" w14:textId="77777777" w:rsidR="00891A21" w:rsidRPr="009818A2" w:rsidRDefault="00891A21" w:rsidP="00A745C8">
            <w:pPr>
              <w:overflowPunct/>
              <w:autoSpaceDE/>
              <w:autoSpaceDN/>
              <w:adjustRightInd/>
              <w:jc w:val="right"/>
              <w:textAlignment w:val="auto"/>
              <w:rPr>
                <w:b/>
                <w:bCs/>
                <w:color w:val="000000"/>
                <w:sz w:val="24"/>
                <w:szCs w:val="22"/>
                <w:lang w:val="en-CA" w:eastAsia="en-CA"/>
              </w:rPr>
            </w:pPr>
            <w:r w:rsidRPr="009818A2">
              <w:rPr>
                <w:b/>
                <w:bCs/>
                <w:color w:val="000000"/>
                <w:sz w:val="24"/>
                <w:szCs w:val="22"/>
                <w:lang w:eastAsia="en-CA"/>
              </w:rPr>
              <w:t xml:space="preserve"> - </w:t>
            </w:r>
          </w:p>
        </w:tc>
      </w:tr>
      <w:tr w:rsidR="00891A21" w:rsidRPr="009818A2" w14:paraId="79374720" w14:textId="77777777" w:rsidTr="009818A2">
        <w:trPr>
          <w:trHeight w:val="300"/>
        </w:trPr>
        <w:tc>
          <w:tcPr>
            <w:tcW w:w="6660" w:type="dxa"/>
            <w:shd w:val="clear" w:color="auto" w:fill="auto"/>
            <w:noWrap/>
            <w:vAlign w:val="center"/>
            <w:hideMark/>
          </w:tcPr>
          <w:p w14:paraId="39EA3336" w14:textId="77777777" w:rsidR="00891A21" w:rsidRPr="009818A2" w:rsidRDefault="00891A21" w:rsidP="009818A2">
            <w:pPr>
              <w:overflowPunct/>
              <w:autoSpaceDE/>
              <w:autoSpaceDN/>
              <w:adjustRightInd/>
              <w:ind w:left="342" w:hanging="342"/>
              <w:textAlignment w:val="auto"/>
              <w:rPr>
                <w:color w:val="000000"/>
                <w:sz w:val="24"/>
                <w:szCs w:val="22"/>
                <w:lang w:val="en-CA" w:eastAsia="en-CA"/>
              </w:rPr>
            </w:pPr>
            <w:r w:rsidRPr="009818A2">
              <w:rPr>
                <w:color w:val="000000"/>
                <w:sz w:val="24"/>
                <w:szCs w:val="22"/>
                <w:lang w:eastAsia="en-CA"/>
              </w:rPr>
              <w:t xml:space="preserve">(b) Capital Requirements for Market Risk: Standardised Duration </w:t>
            </w:r>
            <w:r w:rsidR="009818A2">
              <w:rPr>
                <w:color w:val="000000"/>
                <w:sz w:val="24"/>
                <w:szCs w:val="22"/>
                <w:lang w:eastAsia="en-CA"/>
              </w:rPr>
              <w:t xml:space="preserve">      </w:t>
            </w:r>
            <w:r w:rsidRPr="009818A2">
              <w:rPr>
                <w:color w:val="000000"/>
                <w:sz w:val="24"/>
                <w:szCs w:val="22"/>
                <w:lang w:eastAsia="en-CA"/>
              </w:rPr>
              <w:t>Approach</w:t>
            </w:r>
          </w:p>
        </w:tc>
        <w:tc>
          <w:tcPr>
            <w:tcW w:w="2250" w:type="dxa"/>
            <w:shd w:val="clear" w:color="auto" w:fill="auto"/>
            <w:noWrap/>
            <w:vAlign w:val="center"/>
            <w:hideMark/>
          </w:tcPr>
          <w:p w14:paraId="68BB6C51"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val="en-CA" w:eastAsia="en-CA"/>
              </w:rPr>
              <w:t> </w:t>
            </w:r>
          </w:p>
        </w:tc>
      </w:tr>
      <w:tr w:rsidR="00891A21" w:rsidRPr="009818A2" w14:paraId="1E334F50" w14:textId="77777777" w:rsidTr="009818A2">
        <w:trPr>
          <w:trHeight w:val="404"/>
        </w:trPr>
        <w:tc>
          <w:tcPr>
            <w:tcW w:w="6660" w:type="dxa"/>
            <w:shd w:val="clear" w:color="auto" w:fill="auto"/>
            <w:noWrap/>
            <w:vAlign w:val="center"/>
            <w:hideMark/>
          </w:tcPr>
          <w:p w14:paraId="58B07F73"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Interest Rate Risk</w:t>
            </w:r>
          </w:p>
        </w:tc>
        <w:tc>
          <w:tcPr>
            <w:tcW w:w="2250" w:type="dxa"/>
            <w:shd w:val="clear" w:color="auto" w:fill="auto"/>
            <w:noWrap/>
            <w:vAlign w:val="center"/>
            <w:hideMark/>
          </w:tcPr>
          <w:p w14:paraId="06163D1E" w14:textId="7F6333DC" w:rsidR="00891A21" w:rsidRPr="009818A2" w:rsidRDefault="008233D4" w:rsidP="00EE0DF4">
            <w:pPr>
              <w:overflowPunct/>
              <w:autoSpaceDE/>
              <w:autoSpaceDN/>
              <w:adjustRightInd/>
              <w:jc w:val="right"/>
              <w:textAlignment w:val="auto"/>
              <w:rPr>
                <w:color w:val="000000"/>
                <w:sz w:val="24"/>
                <w:szCs w:val="22"/>
                <w:lang w:val="en-CA" w:eastAsia="en-CA"/>
              </w:rPr>
            </w:pPr>
            <w:r>
              <w:rPr>
                <w:color w:val="000000"/>
                <w:sz w:val="24"/>
                <w:szCs w:val="22"/>
                <w:lang w:eastAsia="en-CA"/>
              </w:rPr>
              <w:t>65,927</w:t>
            </w:r>
          </w:p>
        </w:tc>
      </w:tr>
      <w:tr w:rsidR="00891A21" w:rsidRPr="009818A2" w14:paraId="49B293D4" w14:textId="77777777" w:rsidTr="009818A2">
        <w:trPr>
          <w:trHeight w:val="300"/>
        </w:trPr>
        <w:tc>
          <w:tcPr>
            <w:tcW w:w="6660" w:type="dxa"/>
            <w:shd w:val="clear" w:color="auto" w:fill="auto"/>
            <w:noWrap/>
            <w:vAlign w:val="center"/>
            <w:hideMark/>
          </w:tcPr>
          <w:p w14:paraId="3176785F"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Foreign Exchange risk (including Gold)</w:t>
            </w:r>
          </w:p>
        </w:tc>
        <w:tc>
          <w:tcPr>
            <w:tcW w:w="2250" w:type="dxa"/>
            <w:shd w:val="clear" w:color="auto" w:fill="auto"/>
            <w:noWrap/>
            <w:vAlign w:val="center"/>
            <w:hideMark/>
          </w:tcPr>
          <w:p w14:paraId="28F492DB" w14:textId="7C656ADD" w:rsidR="00891A21" w:rsidRPr="009818A2" w:rsidRDefault="008233D4" w:rsidP="00EE0DF4">
            <w:pPr>
              <w:overflowPunct/>
              <w:autoSpaceDE/>
              <w:autoSpaceDN/>
              <w:adjustRightInd/>
              <w:jc w:val="right"/>
              <w:textAlignment w:val="auto"/>
              <w:rPr>
                <w:color w:val="000000"/>
                <w:sz w:val="24"/>
                <w:szCs w:val="22"/>
                <w:lang w:val="en-CA" w:eastAsia="en-CA"/>
              </w:rPr>
            </w:pPr>
            <w:r>
              <w:rPr>
                <w:color w:val="000000"/>
                <w:sz w:val="24"/>
                <w:szCs w:val="22"/>
                <w:lang w:eastAsia="en-CA"/>
              </w:rPr>
              <w:t>212,878</w:t>
            </w:r>
            <w:r w:rsidR="006C2CF9" w:rsidRPr="009818A2">
              <w:rPr>
                <w:color w:val="000000"/>
                <w:sz w:val="24"/>
                <w:szCs w:val="22"/>
                <w:lang w:eastAsia="en-CA"/>
              </w:rPr>
              <w:t xml:space="preserve"> </w:t>
            </w:r>
          </w:p>
        </w:tc>
      </w:tr>
      <w:tr w:rsidR="00891A21" w:rsidRPr="009818A2" w14:paraId="69E81BC0" w14:textId="77777777" w:rsidTr="009818A2">
        <w:trPr>
          <w:trHeight w:val="300"/>
        </w:trPr>
        <w:tc>
          <w:tcPr>
            <w:tcW w:w="6660" w:type="dxa"/>
            <w:shd w:val="clear" w:color="auto" w:fill="auto"/>
            <w:noWrap/>
            <w:vAlign w:val="center"/>
            <w:hideMark/>
          </w:tcPr>
          <w:p w14:paraId="62DE15AA"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Equity Risk</w:t>
            </w:r>
          </w:p>
        </w:tc>
        <w:tc>
          <w:tcPr>
            <w:tcW w:w="2250" w:type="dxa"/>
            <w:shd w:val="clear" w:color="auto" w:fill="auto"/>
            <w:noWrap/>
            <w:vAlign w:val="center"/>
            <w:hideMark/>
          </w:tcPr>
          <w:p w14:paraId="7CF1F8F0" w14:textId="77777777" w:rsidR="00891A21" w:rsidRPr="00166C7E" w:rsidRDefault="00891A21" w:rsidP="00EE0DF4">
            <w:pPr>
              <w:overflowPunct/>
              <w:autoSpaceDE/>
              <w:autoSpaceDN/>
              <w:adjustRightInd/>
              <w:jc w:val="right"/>
              <w:textAlignment w:val="auto"/>
              <w:rPr>
                <w:b/>
                <w:color w:val="000000"/>
                <w:sz w:val="24"/>
                <w:szCs w:val="22"/>
                <w:lang w:val="en-CA" w:eastAsia="en-CA"/>
              </w:rPr>
            </w:pPr>
            <w:r w:rsidRPr="009818A2">
              <w:rPr>
                <w:color w:val="000000"/>
                <w:sz w:val="24"/>
                <w:szCs w:val="22"/>
                <w:lang w:eastAsia="en-CA"/>
              </w:rPr>
              <w:t xml:space="preserve">                     </w:t>
            </w:r>
            <w:r w:rsidR="00EE0DF4" w:rsidRPr="00166C7E">
              <w:rPr>
                <w:b/>
                <w:color w:val="000000"/>
                <w:sz w:val="24"/>
                <w:szCs w:val="22"/>
                <w:lang w:eastAsia="en-CA"/>
              </w:rPr>
              <w:t>-</w:t>
            </w:r>
            <w:r w:rsidRPr="00166C7E">
              <w:rPr>
                <w:b/>
                <w:color w:val="000000"/>
                <w:sz w:val="24"/>
                <w:szCs w:val="22"/>
                <w:lang w:eastAsia="en-CA"/>
              </w:rPr>
              <w:t xml:space="preserve"> </w:t>
            </w:r>
          </w:p>
        </w:tc>
      </w:tr>
      <w:tr w:rsidR="00891A21" w:rsidRPr="009818A2" w14:paraId="33575A03" w14:textId="77777777" w:rsidTr="009818A2">
        <w:trPr>
          <w:trHeight w:val="300"/>
        </w:trPr>
        <w:tc>
          <w:tcPr>
            <w:tcW w:w="6660" w:type="dxa"/>
            <w:shd w:val="clear" w:color="auto" w:fill="auto"/>
            <w:noWrap/>
            <w:vAlign w:val="center"/>
            <w:hideMark/>
          </w:tcPr>
          <w:p w14:paraId="087D8BAA"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(c) Capital Requirements for Operational Risk:</w:t>
            </w:r>
          </w:p>
        </w:tc>
        <w:tc>
          <w:tcPr>
            <w:tcW w:w="2250" w:type="dxa"/>
            <w:shd w:val="clear" w:color="auto" w:fill="auto"/>
            <w:noWrap/>
            <w:vAlign w:val="center"/>
            <w:hideMark/>
          </w:tcPr>
          <w:p w14:paraId="5363B659"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val="en-CA" w:eastAsia="en-CA"/>
              </w:rPr>
              <w:t> </w:t>
            </w:r>
          </w:p>
        </w:tc>
      </w:tr>
      <w:tr w:rsidR="00891A21" w:rsidRPr="009818A2" w14:paraId="1351A280" w14:textId="77777777" w:rsidTr="009818A2">
        <w:trPr>
          <w:trHeight w:val="300"/>
        </w:trPr>
        <w:tc>
          <w:tcPr>
            <w:tcW w:w="6660" w:type="dxa"/>
            <w:shd w:val="clear" w:color="auto" w:fill="auto"/>
            <w:noWrap/>
            <w:vAlign w:val="center"/>
            <w:hideMark/>
          </w:tcPr>
          <w:p w14:paraId="3924EB39"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Basic Indicator Approach</w:t>
            </w:r>
          </w:p>
        </w:tc>
        <w:tc>
          <w:tcPr>
            <w:tcW w:w="2250" w:type="dxa"/>
            <w:shd w:val="clear" w:color="auto" w:fill="auto"/>
            <w:noWrap/>
            <w:vAlign w:val="center"/>
            <w:hideMark/>
          </w:tcPr>
          <w:p w14:paraId="5860C425" w14:textId="6CF5D3F4" w:rsidR="00891A21" w:rsidRPr="009818A2" w:rsidRDefault="00891A21" w:rsidP="00166C7E">
            <w:pPr>
              <w:overflowPunct/>
              <w:autoSpaceDE/>
              <w:autoSpaceDN/>
              <w:adjustRightInd/>
              <w:jc w:val="right"/>
              <w:textAlignment w:val="auto"/>
              <w:rPr>
                <w:color w:val="000000"/>
                <w:sz w:val="24"/>
                <w:szCs w:val="22"/>
                <w:lang w:val="en-CA" w:eastAsia="en-CA"/>
              </w:rPr>
            </w:pPr>
            <w:r w:rsidRPr="009818A2">
              <w:rPr>
                <w:color w:val="000000"/>
                <w:sz w:val="24"/>
                <w:szCs w:val="22"/>
                <w:lang w:eastAsia="en-CA"/>
              </w:rPr>
              <w:t xml:space="preserve">                 </w:t>
            </w:r>
            <w:r w:rsidR="006C2CF9">
              <w:rPr>
                <w:color w:val="000000"/>
                <w:sz w:val="24"/>
                <w:szCs w:val="22"/>
                <w:lang w:eastAsia="en-CA"/>
              </w:rPr>
              <w:t>281</w:t>
            </w:r>
            <w:r w:rsidR="00E871D8">
              <w:rPr>
                <w:color w:val="000000"/>
                <w:sz w:val="24"/>
                <w:szCs w:val="22"/>
                <w:lang w:eastAsia="en-CA"/>
              </w:rPr>
              <w:t>,</w:t>
            </w:r>
            <w:r w:rsidR="006C2CF9">
              <w:rPr>
                <w:color w:val="000000"/>
                <w:sz w:val="24"/>
                <w:szCs w:val="22"/>
                <w:lang w:eastAsia="en-CA"/>
              </w:rPr>
              <w:t>944</w:t>
            </w:r>
            <w:r w:rsidR="006C2CF9" w:rsidRPr="009818A2">
              <w:rPr>
                <w:color w:val="000000"/>
                <w:sz w:val="24"/>
                <w:szCs w:val="22"/>
                <w:lang w:eastAsia="en-CA"/>
              </w:rPr>
              <w:t xml:space="preserve"> </w:t>
            </w:r>
          </w:p>
        </w:tc>
      </w:tr>
      <w:tr w:rsidR="00891A21" w:rsidRPr="009818A2" w14:paraId="428802F2" w14:textId="77777777" w:rsidTr="009818A2">
        <w:trPr>
          <w:trHeight w:val="300"/>
        </w:trPr>
        <w:tc>
          <w:tcPr>
            <w:tcW w:w="6660" w:type="dxa"/>
            <w:shd w:val="clear" w:color="auto" w:fill="auto"/>
            <w:noWrap/>
            <w:vAlign w:val="center"/>
            <w:hideMark/>
          </w:tcPr>
          <w:p w14:paraId="3DD3C0EC"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Total Eligible Capital</w:t>
            </w:r>
          </w:p>
        </w:tc>
        <w:tc>
          <w:tcPr>
            <w:tcW w:w="2250" w:type="dxa"/>
            <w:shd w:val="clear" w:color="auto" w:fill="auto"/>
            <w:noWrap/>
            <w:vAlign w:val="center"/>
            <w:hideMark/>
          </w:tcPr>
          <w:p w14:paraId="7F9CEEF4" w14:textId="06CF20CE" w:rsidR="00891A21" w:rsidRPr="009818A2" w:rsidRDefault="00891A21" w:rsidP="00166C7E">
            <w:pPr>
              <w:overflowPunct/>
              <w:autoSpaceDE/>
              <w:autoSpaceDN/>
              <w:adjustRightInd/>
              <w:jc w:val="right"/>
              <w:textAlignment w:val="auto"/>
              <w:rPr>
                <w:color w:val="000000"/>
                <w:sz w:val="24"/>
                <w:szCs w:val="22"/>
                <w:lang w:val="en-CA" w:eastAsia="en-CA"/>
              </w:rPr>
            </w:pPr>
            <w:r w:rsidRPr="009818A2">
              <w:rPr>
                <w:color w:val="000000"/>
                <w:sz w:val="24"/>
                <w:szCs w:val="22"/>
                <w:lang w:eastAsia="en-CA"/>
              </w:rPr>
              <w:t xml:space="preserve">           </w:t>
            </w:r>
            <w:r w:rsidR="006C2CF9">
              <w:rPr>
                <w:sz w:val="24"/>
                <w:szCs w:val="22"/>
              </w:rPr>
              <w:t>18</w:t>
            </w:r>
            <w:r w:rsidR="00B86DBC">
              <w:rPr>
                <w:sz w:val="24"/>
                <w:szCs w:val="22"/>
              </w:rPr>
              <w:t>,</w:t>
            </w:r>
            <w:r w:rsidR="006C2CF9">
              <w:rPr>
                <w:sz w:val="24"/>
                <w:szCs w:val="22"/>
              </w:rPr>
              <w:t>012</w:t>
            </w:r>
            <w:r w:rsidR="00B86DBC">
              <w:rPr>
                <w:sz w:val="24"/>
                <w:szCs w:val="22"/>
              </w:rPr>
              <w:t>,</w:t>
            </w:r>
            <w:r w:rsidR="006C2CF9">
              <w:rPr>
                <w:sz w:val="24"/>
                <w:szCs w:val="22"/>
              </w:rPr>
              <w:t>177</w:t>
            </w:r>
          </w:p>
        </w:tc>
      </w:tr>
      <w:tr w:rsidR="00891A21" w:rsidRPr="009818A2" w14:paraId="6EFC3D50" w14:textId="77777777" w:rsidTr="009818A2">
        <w:trPr>
          <w:trHeight w:val="300"/>
        </w:trPr>
        <w:tc>
          <w:tcPr>
            <w:tcW w:w="6660" w:type="dxa"/>
            <w:shd w:val="clear" w:color="auto" w:fill="auto"/>
            <w:noWrap/>
            <w:vAlign w:val="center"/>
            <w:hideMark/>
          </w:tcPr>
          <w:p w14:paraId="76E5E4F0"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Total Risk Weighted Assets</w:t>
            </w:r>
          </w:p>
        </w:tc>
        <w:tc>
          <w:tcPr>
            <w:tcW w:w="2250" w:type="dxa"/>
            <w:shd w:val="clear" w:color="auto" w:fill="auto"/>
            <w:noWrap/>
            <w:vAlign w:val="center"/>
            <w:hideMark/>
          </w:tcPr>
          <w:p w14:paraId="6C8CC205" w14:textId="61F63D7F" w:rsidR="00891A21" w:rsidRPr="009818A2" w:rsidRDefault="00891A21" w:rsidP="00166C7E">
            <w:pPr>
              <w:overflowPunct/>
              <w:autoSpaceDE/>
              <w:autoSpaceDN/>
              <w:adjustRightInd/>
              <w:jc w:val="right"/>
              <w:textAlignment w:val="auto"/>
              <w:rPr>
                <w:color w:val="000000"/>
                <w:sz w:val="24"/>
                <w:szCs w:val="22"/>
                <w:lang w:val="en-CA" w:eastAsia="en-CA"/>
              </w:rPr>
            </w:pPr>
            <w:r w:rsidRPr="009818A2">
              <w:rPr>
                <w:color w:val="000000"/>
                <w:sz w:val="24"/>
                <w:szCs w:val="22"/>
                <w:lang w:eastAsia="en-CA"/>
              </w:rPr>
              <w:t xml:space="preserve">           </w:t>
            </w:r>
            <w:r w:rsidR="006C2CF9">
              <w:rPr>
                <w:color w:val="000000"/>
                <w:sz w:val="24"/>
                <w:szCs w:val="22"/>
                <w:lang w:eastAsia="en-CA"/>
              </w:rPr>
              <w:t>37</w:t>
            </w:r>
            <w:r w:rsidR="00B86DBC">
              <w:rPr>
                <w:color w:val="000000"/>
                <w:sz w:val="24"/>
                <w:szCs w:val="22"/>
                <w:lang w:eastAsia="en-CA"/>
              </w:rPr>
              <w:t>,</w:t>
            </w:r>
            <w:r w:rsidR="006C2CF9">
              <w:rPr>
                <w:color w:val="000000"/>
                <w:sz w:val="24"/>
                <w:szCs w:val="22"/>
                <w:lang w:eastAsia="en-CA"/>
              </w:rPr>
              <w:t>384</w:t>
            </w:r>
            <w:r w:rsidR="00B86DBC">
              <w:rPr>
                <w:color w:val="000000"/>
                <w:sz w:val="24"/>
                <w:szCs w:val="22"/>
                <w:lang w:eastAsia="en-CA"/>
              </w:rPr>
              <w:t>,</w:t>
            </w:r>
            <w:r w:rsidR="006C2CF9">
              <w:rPr>
                <w:color w:val="000000"/>
                <w:sz w:val="24"/>
                <w:szCs w:val="22"/>
                <w:lang w:eastAsia="en-CA"/>
              </w:rPr>
              <w:t>296</w:t>
            </w:r>
            <w:r w:rsidR="006C2CF9" w:rsidRPr="009818A2">
              <w:rPr>
                <w:color w:val="000000"/>
                <w:sz w:val="24"/>
                <w:szCs w:val="22"/>
                <w:lang w:eastAsia="en-CA"/>
              </w:rPr>
              <w:t xml:space="preserve"> </w:t>
            </w:r>
          </w:p>
        </w:tc>
      </w:tr>
      <w:tr w:rsidR="00891A21" w:rsidRPr="009818A2" w14:paraId="1BF45862" w14:textId="77777777" w:rsidTr="009818A2">
        <w:trPr>
          <w:trHeight w:val="300"/>
        </w:trPr>
        <w:tc>
          <w:tcPr>
            <w:tcW w:w="6660" w:type="dxa"/>
            <w:shd w:val="clear" w:color="auto" w:fill="auto"/>
            <w:noWrap/>
            <w:vAlign w:val="center"/>
            <w:hideMark/>
          </w:tcPr>
          <w:p w14:paraId="5DC91DDF"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Total Capital Ratio </w:t>
            </w:r>
          </w:p>
        </w:tc>
        <w:tc>
          <w:tcPr>
            <w:tcW w:w="2250" w:type="dxa"/>
            <w:shd w:val="clear" w:color="auto" w:fill="auto"/>
            <w:noWrap/>
            <w:vAlign w:val="center"/>
            <w:hideMark/>
          </w:tcPr>
          <w:p w14:paraId="078BDEF0" w14:textId="6E68927E" w:rsidR="00891A21" w:rsidRPr="009818A2" w:rsidRDefault="006C2CF9" w:rsidP="00F53F08">
            <w:pPr>
              <w:overflowPunct/>
              <w:autoSpaceDE/>
              <w:autoSpaceDN/>
              <w:adjustRightInd/>
              <w:jc w:val="right"/>
              <w:textAlignment w:val="auto"/>
              <w:rPr>
                <w:color w:val="000000"/>
                <w:sz w:val="24"/>
                <w:szCs w:val="22"/>
                <w:lang w:val="en-CA" w:eastAsia="en-CA"/>
              </w:rPr>
            </w:pPr>
            <w:r>
              <w:rPr>
                <w:color w:val="000000"/>
                <w:sz w:val="24"/>
                <w:szCs w:val="22"/>
                <w:lang w:eastAsia="en-CA"/>
              </w:rPr>
              <w:t>48</w:t>
            </w:r>
            <w:r w:rsidR="00B86DBC">
              <w:rPr>
                <w:color w:val="000000"/>
                <w:sz w:val="24"/>
                <w:szCs w:val="22"/>
                <w:lang w:eastAsia="en-CA"/>
              </w:rPr>
              <w:t>.</w:t>
            </w:r>
            <w:r>
              <w:rPr>
                <w:color w:val="000000"/>
                <w:sz w:val="24"/>
                <w:szCs w:val="22"/>
                <w:lang w:eastAsia="en-CA"/>
              </w:rPr>
              <w:t>19</w:t>
            </w:r>
            <w:r w:rsidR="00891A21" w:rsidRPr="009818A2">
              <w:rPr>
                <w:color w:val="000000"/>
                <w:sz w:val="24"/>
                <w:szCs w:val="22"/>
                <w:lang w:eastAsia="en-CA"/>
              </w:rPr>
              <w:t>%</w:t>
            </w:r>
          </w:p>
        </w:tc>
      </w:tr>
      <w:tr w:rsidR="00891A21" w:rsidRPr="009818A2" w14:paraId="08C9E3CF" w14:textId="77777777" w:rsidTr="009818A2">
        <w:trPr>
          <w:trHeight w:val="300"/>
        </w:trPr>
        <w:tc>
          <w:tcPr>
            <w:tcW w:w="6660" w:type="dxa"/>
            <w:shd w:val="clear" w:color="auto" w:fill="auto"/>
            <w:noWrap/>
            <w:vAlign w:val="center"/>
            <w:hideMark/>
          </w:tcPr>
          <w:p w14:paraId="07EF6E1D"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Tier 1  Capital Ratio</w:t>
            </w:r>
          </w:p>
        </w:tc>
        <w:tc>
          <w:tcPr>
            <w:tcW w:w="2250" w:type="dxa"/>
            <w:shd w:val="clear" w:color="auto" w:fill="auto"/>
            <w:noWrap/>
            <w:vAlign w:val="center"/>
            <w:hideMark/>
          </w:tcPr>
          <w:p w14:paraId="075FFF18" w14:textId="775BE150" w:rsidR="00891A21" w:rsidRPr="009818A2" w:rsidRDefault="006C2CF9" w:rsidP="00166C7E">
            <w:pPr>
              <w:overflowPunct/>
              <w:autoSpaceDE/>
              <w:autoSpaceDN/>
              <w:adjustRightInd/>
              <w:jc w:val="right"/>
              <w:textAlignment w:val="auto"/>
              <w:rPr>
                <w:color w:val="000000"/>
                <w:sz w:val="24"/>
                <w:szCs w:val="22"/>
                <w:lang w:val="en-CA" w:eastAsia="en-CA"/>
              </w:rPr>
            </w:pPr>
            <w:r>
              <w:rPr>
                <w:color w:val="000000"/>
                <w:sz w:val="24"/>
                <w:szCs w:val="22"/>
                <w:lang w:eastAsia="en-CA"/>
              </w:rPr>
              <w:t>45</w:t>
            </w:r>
            <w:r w:rsidR="00B86DBC">
              <w:rPr>
                <w:color w:val="000000"/>
                <w:sz w:val="24"/>
                <w:szCs w:val="22"/>
                <w:lang w:eastAsia="en-CA"/>
              </w:rPr>
              <w:t>.</w:t>
            </w:r>
            <w:r>
              <w:rPr>
                <w:color w:val="000000"/>
                <w:sz w:val="24"/>
                <w:szCs w:val="22"/>
                <w:lang w:eastAsia="en-CA"/>
              </w:rPr>
              <w:t>77</w:t>
            </w:r>
            <w:r w:rsidR="00891A21" w:rsidRPr="009818A2">
              <w:rPr>
                <w:color w:val="000000"/>
                <w:sz w:val="24"/>
                <w:szCs w:val="22"/>
                <w:lang w:eastAsia="en-CA"/>
              </w:rPr>
              <w:t>%</w:t>
            </w:r>
          </w:p>
        </w:tc>
      </w:tr>
    </w:tbl>
    <w:p w14:paraId="4435367E" w14:textId="77777777" w:rsidR="004C198E" w:rsidRPr="009818A2" w:rsidRDefault="004C198E" w:rsidP="00EC07BA">
      <w:pPr>
        <w:rPr>
          <w:b/>
          <w:color w:val="3366FF"/>
          <w:sz w:val="24"/>
          <w:szCs w:val="22"/>
        </w:rPr>
      </w:pPr>
    </w:p>
    <w:p w14:paraId="5859A29E" w14:textId="77777777" w:rsidR="005A035A" w:rsidRDefault="005A035A">
      <w:pPr>
        <w:overflowPunct/>
        <w:autoSpaceDE/>
        <w:autoSpaceDN/>
        <w:adjustRightInd/>
        <w:spacing w:after="200" w:line="276" w:lineRule="auto"/>
        <w:textAlignment w:val="auto"/>
        <w:rPr>
          <w:b/>
          <w:sz w:val="24"/>
          <w:szCs w:val="22"/>
        </w:rPr>
      </w:pPr>
      <w:r>
        <w:rPr>
          <w:b/>
          <w:sz w:val="24"/>
          <w:szCs w:val="22"/>
        </w:rPr>
        <w:br w:type="page"/>
      </w:r>
    </w:p>
    <w:p w14:paraId="487865C0" w14:textId="720F8476" w:rsidR="00EC07BA" w:rsidRPr="009818A2" w:rsidRDefault="00162A44" w:rsidP="00AF141A">
      <w:pPr>
        <w:numPr>
          <w:ilvl w:val="0"/>
          <w:numId w:val="7"/>
        </w:numPr>
        <w:tabs>
          <w:tab w:val="clear" w:pos="1800"/>
          <w:tab w:val="num" w:pos="720"/>
        </w:tabs>
        <w:overflowPunct/>
        <w:autoSpaceDE/>
        <w:autoSpaceDN/>
        <w:adjustRightInd/>
        <w:ind w:left="720" w:hanging="720"/>
        <w:textAlignment w:val="auto"/>
        <w:rPr>
          <w:b/>
          <w:sz w:val="24"/>
          <w:szCs w:val="22"/>
        </w:rPr>
      </w:pPr>
      <w:r w:rsidRPr="009818A2">
        <w:rPr>
          <w:b/>
          <w:sz w:val="24"/>
          <w:szCs w:val="22"/>
        </w:rPr>
        <w:lastRenderedPageBreak/>
        <w:t>DF -3</w:t>
      </w:r>
      <w:r w:rsidR="000D3DBF" w:rsidRPr="009818A2">
        <w:rPr>
          <w:b/>
          <w:sz w:val="24"/>
          <w:szCs w:val="22"/>
        </w:rPr>
        <w:t>:</w:t>
      </w:r>
      <w:r w:rsidRPr="009818A2">
        <w:rPr>
          <w:b/>
          <w:sz w:val="24"/>
          <w:szCs w:val="22"/>
        </w:rPr>
        <w:t xml:space="preserve"> </w:t>
      </w:r>
      <w:r w:rsidR="00EC07BA" w:rsidRPr="009818A2">
        <w:rPr>
          <w:b/>
          <w:sz w:val="24"/>
          <w:szCs w:val="22"/>
        </w:rPr>
        <w:t xml:space="preserve">Credit Risk : General Disclosures </w:t>
      </w:r>
    </w:p>
    <w:p w14:paraId="4DE458C1" w14:textId="77777777" w:rsidR="00EC07BA" w:rsidRPr="009818A2" w:rsidRDefault="00EC07BA" w:rsidP="00EC07BA">
      <w:pPr>
        <w:ind w:left="720"/>
        <w:rPr>
          <w:b/>
          <w:color w:val="3366FF"/>
          <w:sz w:val="24"/>
          <w:szCs w:val="22"/>
        </w:rPr>
      </w:pPr>
      <w:r w:rsidRPr="009818A2">
        <w:rPr>
          <w:b/>
          <w:sz w:val="24"/>
          <w:szCs w:val="22"/>
        </w:rPr>
        <w:t>Qualitative Disclosures</w:t>
      </w:r>
    </w:p>
    <w:p w14:paraId="4C2DD46E" w14:textId="77777777" w:rsidR="00EC07BA" w:rsidRPr="001D70E9" w:rsidRDefault="00EC07BA" w:rsidP="00EC07BA">
      <w:pPr>
        <w:ind w:left="720"/>
        <w:jc w:val="both"/>
        <w:rPr>
          <w:sz w:val="22"/>
          <w:szCs w:val="22"/>
        </w:rPr>
      </w:pPr>
      <w:r w:rsidRPr="009818A2">
        <w:rPr>
          <w:sz w:val="24"/>
          <w:szCs w:val="22"/>
        </w:rPr>
        <w:t>Credit risk is the risk of loss resulting from the failure of a borrower or counter party to honour its financial or contractual obligations to the bank. Credit risk arises in the Bank’s direct lending operations, and in its funding, investment and trading activities where counterparties have repayment or other obligations to the Bank</w:t>
      </w:r>
      <w:r w:rsidRPr="001D70E9">
        <w:rPr>
          <w:sz w:val="22"/>
          <w:szCs w:val="22"/>
        </w:rPr>
        <w:t>.</w:t>
      </w:r>
    </w:p>
    <w:p w14:paraId="153B6485" w14:textId="77777777" w:rsidR="00EC07BA" w:rsidRPr="001D70E9" w:rsidRDefault="00EC07BA" w:rsidP="00EC07BA">
      <w:pPr>
        <w:ind w:left="720"/>
        <w:jc w:val="both"/>
        <w:rPr>
          <w:sz w:val="22"/>
          <w:szCs w:val="22"/>
        </w:rPr>
      </w:pPr>
    </w:p>
    <w:p w14:paraId="228BECA7" w14:textId="5F9FCB06" w:rsidR="00EC07BA" w:rsidRPr="009818A2" w:rsidRDefault="00EC07BA" w:rsidP="00EC07BA">
      <w:pPr>
        <w:ind w:left="720"/>
        <w:jc w:val="both"/>
        <w:rPr>
          <w:sz w:val="24"/>
          <w:szCs w:val="22"/>
        </w:rPr>
      </w:pPr>
      <w:r w:rsidRPr="009818A2">
        <w:rPr>
          <w:sz w:val="24"/>
          <w:szCs w:val="22"/>
        </w:rPr>
        <w:t xml:space="preserve">Credit risk management policies are developed </w:t>
      </w:r>
      <w:r w:rsidR="00AC480B">
        <w:rPr>
          <w:sz w:val="24"/>
          <w:szCs w:val="22"/>
        </w:rPr>
        <w:t>centrally</w:t>
      </w:r>
      <w:r w:rsidR="00AC480B" w:rsidRPr="009818A2">
        <w:rPr>
          <w:sz w:val="24"/>
          <w:szCs w:val="22"/>
        </w:rPr>
        <w:t xml:space="preserve"> </w:t>
      </w:r>
      <w:r w:rsidRPr="009818A2">
        <w:rPr>
          <w:sz w:val="24"/>
          <w:szCs w:val="22"/>
        </w:rPr>
        <w:t>by Global Risk Management in detail</w:t>
      </w:r>
      <w:r w:rsidR="00AC480B">
        <w:rPr>
          <w:sz w:val="24"/>
          <w:szCs w:val="22"/>
        </w:rPr>
        <w:t>.</w:t>
      </w:r>
      <w:r w:rsidRPr="009818A2">
        <w:rPr>
          <w:sz w:val="24"/>
          <w:szCs w:val="22"/>
        </w:rPr>
        <w:t xml:space="preserve"> </w:t>
      </w:r>
      <w:r w:rsidR="00AC480B">
        <w:rPr>
          <w:sz w:val="24"/>
          <w:szCs w:val="22"/>
        </w:rPr>
        <w:t>A</w:t>
      </w:r>
      <w:r w:rsidR="00AC480B" w:rsidRPr="009818A2">
        <w:rPr>
          <w:sz w:val="24"/>
          <w:szCs w:val="22"/>
        </w:rPr>
        <w:t xml:space="preserve">mong </w:t>
      </w:r>
      <w:r w:rsidRPr="009818A2">
        <w:rPr>
          <w:sz w:val="24"/>
          <w:szCs w:val="22"/>
        </w:rPr>
        <w:t xml:space="preserve">other things, </w:t>
      </w:r>
      <w:r w:rsidR="00AC480B">
        <w:rPr>
          <w:sz w:val="24"/>
          <w:szCs w:val="22"/>
        </w:rPr>
        <w:t>this includes</w:t>
      </w:r>
      <w:r w:rsidR="00AC480B" w:rsidRPr="009818A2">
        <w:rPr>
          <w:sz w:val="24"/>
          <w:szCs w:val="22"/>
        </w:rPr>
        <w:t xml:space="preserve"> </w:t>
      </w:r>
      <w:r w:rsidRPr="009818A2">
        <w:rPr>
          <w:sz w:val="24"/>
          <w:szCs w:val="22"/>
        </w:rPr>
        <w:t>the credit rating systems and associated parameter estimates</w:t>
      </w:r>
      <w:r w:rsidR="00AC480B">
        <w:rPr>
          <w:sz w:val="24"/>
          <w:szCs w:val="22"/>
        </w:rPr>
        <w:t>,</w:t>
      </w:r>
      <w:r w:rsidRPr="009818A2">
        <w:rPr>
          <w:sz w:val="24"/>
          <w:szCs w:val="22"/>
        </w:rPr>
        <w:t xml:space="preserve"> as well as delegation of authority for granting credit, calculating the allowance for credit losses and authorizing write-offs. The credit risk rating systems support the determination of key credit risk parameter estimates which measure credit and transaction risk. They form an integral part of enterprise-wide policies and procedures encompassing governance, risk management and control structure. All significant credit </w:t>
      </w:r>
      <w:r w:rsidR="004B4AE3">
        <w:rPr>
          <w:sz w:val="24"/>
          <w:szCs w:val="22"/>
        </w:rPr>
        <w:t xml:space="preserve">analyses and recommendations </w:t>
      </w:r>
      <w:r w:rsidR="004B4AE3" w:rsidRPr="009818A2">
        <w:rPr>
          <w:sz w:val="24"/>
          <w:szCs w:val="22"/>
        </w:rPr>
        <w:t xml:space="preserve"> </w:t>
      </w:r>
      <w:r w:rsidRPr="009818A2">
        <w:rPr>
          <w:sz w:val="24"/>
          <w:szCs w:val="22"/>
        </w:rPr>
        <w:t xml:space="preserve">are </w:t>
      </w:r>
      <w:r w:rsidR="004B4AE3">
        <w:rPr>
          <w:sz w:val="24"/>
          <w:szCs w:val="22"/>
        </w:rPr>
        <w:t xml:space="preserve">presented to </w:t>
      </w:r>
      <w:r w:rsidRPr="009818A2">
        <w:rPr>
          <w:sz w:val="24"/>
          <w:szCs w:val="22"/>
        </w:rPr>
        <w:t xml:space="preserve">the credit adjudication units of Global Risk Management. Within the risk management framework, these credit </w:t>
      </w:r>
      <w:r w:rsidR="004B4AE3">
        <w:rPr>
          <w:sz w:val="24"/>
          <w:szCs w:val="22"/>
        </w:rPr>
        <w:t xml:space="preserve">risk </w:t>
      </w:r>
      <w:r w:rsidRPr="009818A2">
        <w:rPr>
          <w:sz w:val="24"/>
          <w:szCs w:val="22"/>
        </w:rPr>
        <w:t xml:space="preserve">units have defined authority levels appropriate to the size and risk of each transaction. </w:t>
      </w:r>
      <w:r w:rsidR="00AC480B">
        <w:rPr>
          <w:sz w:val="24"/>
          <w:szCs w:val="22"/>
        </w:rPr>
        <w:t>For India operations, the Bank has a Local Loan Policy, which supplements the global policies and factors in various local regulatory directions.</w:t>
      </w:r>
    </w:p>
    <w:p w14:paraId="6D028E31" w14:textId="77777777" w:rsidR="004C198E" w:rsidRPr="009818A2" w:rsidRDefault="004C198E" w:rsidP="00EC07BA">
      <w:pPr>
        <w:ind w:left="720"/>
        <w:jc w:val="both"/>
        <w:rPr>
          <w:sz w:val="24"/>
          <w:szCs w:val="22"/>
        </w:rPr>
      </w:pPr>
    </w:p>
    <w:p w14:paraId="1615F19A" w14:textId="1932CC42" w:rsidR="00EC07BA" w:rsidRPr="009818A2" w:rsidRDefault="00EC07BA" w:rsidP="00EC07BA">
      <w:pPr>
        <w:ind w:left="720"/>
        <w:jc w:val="both"/>
        <w:rPr>
          <w:sz w:val="24"/>
          <w:szCs w:val="22"/>
        </w:rPr>
      </w:pPr>
      <w:r w:rsidRPr="009818A2">
        <w:rPr>
          <w:sz w:val="24"/>
          <w:szCs w:val="22"/>
        </w:rPr>
        <w:t xml:space="preserve">The decision-making process begins with an assessment of the credit risk of the individual borrower or counterparty. Key factors considered in the assessment include: the borrower’s financial </w:t>
      </w:r>
      <w:proofErr w:type="spellStart"/>
      <w:r w:rsidRPr="009818A2">
        <w:rPr>
          <w:sz w:val="24"/>
          <w:szCs w:val="22"/>
        </w:rPr>
        <w:t>results</w:t>
      </w:r>
      <w:r w:rsidR="004B4AE3">
        <w:rPr>
          <w:sz w:val="24"/>
          <w:szCs w:val="22"/>
        </w:rPr>
        <w:t>,</w:t>
      </w:r>
      <w:r w:rsidRPr="009818A2">
        <w:rPr>
          <w:sz w:val="24"/>
          <w:szCs w:val="22"/>
        </w:rPr>
        <w:t>credit</w:t>
      </w:r>
      <w:proofErr w:type="spellEnd"/>
      <w:r w:rsidRPr="009818A2">
        <w:rPr>
          <w:sz w:val="24"/>
          <w:szCs w:val="22"/>
        </w:rPr>
        <w:t xml:space="preserve"> statistics</w:t>
      </w:r>
      <w:r w:rsidR="004B4AE3">
        <w:rPr>
          <w:sz w:val="24"/>
          <w:szCs w:val="22"/>
        </w:rPr>
        <w:t xml:space="preserve"> and projections where necessary</w:t>
      </w:r>
      <w:r w:rsidR="004B4AE3" w:rsidRPr="009818A2">
        <w:rPr>
          <w:sz w:val="24"/>
          <w:szCs w:val="22"/>
        </w:rPr>
        <w:t xml:space="preserve"> </w:t>
      </w:r>
      <w:r w:rsidRPr="009818A2">
        <w:rPr>
          <w:sz w:val="24"/>
          <w:szCs w:val="22"/>
        </w:rPr>
        <w:t>the industry in which the borrower operates; economic trends; geopolitical risk and the borrower’s management. Based on this assessment, a risk rating is assigned to the individual borrower or counterparty, using the Bank’s risk rating systems. A separate risk rating is also assigned at the facility level, taking into consideration additional factors, such as security, seniority of claim,</w:t>
      </w:r>
      <w:r w:rsidR="00AC480B" w:rsidRPr="00AC480B">
        <w:rPr>
          <w:sz w:val="24"/>
          <w:szCs w:val="22"/>
        </w:rPr>
        <w:t xml:space="preserve"> </w:t>
      </w:r>
      <w:r w:rsidR="00AC480B">
        <w:rPr>
          <w:sz w:val="24"/>
          <w:szCs w:val="22"/>
        </w:rPr>
        <w:t>country risk cap,</w:t>
      </w:r>
      <w:r w:rsidRPr="009818A2">
        <w:rPr>
          <w:sz w:val="24"/>
          <w:szCs w:val="22"/>
        </w:rPr>
        <w:t xml:space="preserve"> structure, term and any other forms of credit risk mitigation</w:t>
      </w:r>
      <w:r w:rsidR="004B4AE3">
        <w:rPr>
          <w:sz w:val="24"/>
          <w:szCs w:val="22"/>
        </w:rPr>
        <w:t xml:space="preserve"> or enhancement</w:t>
      </w:r>
      <w:r w:rsidRPr="009818A2">
        <w:rPr>
          <w:sz w:val="24"/>
          <w:szCs w:val="22"/>
        </w:rPr>
        <w:t xml:space="preserve"> that affect the amount of potential loss in the event of a default of the facility.</w:t>
      </w:r>
    </w:p>
    <w:p w14:paraId="62E267E7" w14:textId="77777777" w:rsidR="00EC07BA" w:rsidRPr="009818A2" w:rsidRDefault="00EC07BA" w:rsidP="00EC07BA">
      <w:pPr>
        <w:ind w:left="720"/>
        <w:jc w:val="both"/>
        <w:rPr>
          <w:sz w:val="24"/>
          <w:szCs w:val="22"/>
        </w:rPr>
      </w:pPr>
    </w:p>
    <w:p w14:paraId="22B8E349" w14:textId="76C00C61" w:rsidR="00EC07BA" w:rsidRPr="009818A2" w:rsidRDefault="00EC07BA" w:rsidP="00EC07BA">
      <w:pPr>
        <w:ind w:left="720"/>
        <w:jc w:val="both"/>
        <w:rPr>
          <w:sz w:val="24"/>
          <w:szCs w:val="22"/>
        </w:rPr>
      </w:pPr>
      <w:r w:rsidRPr="009818A2">
        <w:rPr>
          <w:sz w:val="24"/>
          <w:szCs w:val="22"/>
        </w:rPr>
        <w:t>The Bank’s credit risk rating systems are designed to support the determination of key credit risk parameter estimates which measure credit and transaction risk. These parameters are used in various internal and regulatory credit risk quantification</w:t>
      </w:r>
      <w:r w:rsidR="004B4AE3">
        <w:rPr>
          <w:sz w:val="24"/>
          <w:szCs w:val="22"/>
        </w:rPr>
        <w:t>s</w:t>
      </w:r>
      <w:r w:rsidRPr="009818A2">
        <w:rPr>
          <w:sz w:val="24"/>
          <w:szCs w:val="22"/>
        </w:rPr>
        <w:t xml:space="preserve">. The credit risk rating systems meet the objectives of transparency and replicability in order to provide consistency in terms of credit adjudication, minimum lending standards by risk ratings and reporting of credit risk. The internal risk ratings also determine the management level at which the facilities can be </w:t>
      </w:r>
      <w:r w:rsidR="004B4AE3">
        <w:rPr>
          <w:sz w:val="24"/>
          <w:szCs w:val="22"/>
        </w:rPr>
        <w:t>adjudicated</w:t>
      </w:r>
      <w:r w:rsidR="004B4AE3" w:rsidRPr="009818A2">
        <w:rPr>
          <w:sz w:val="24"/>
          <w:szCs w:val="22"/>
        </w:rPr>
        <w:t xml:space="preserve"> </w:t>
      </w:r>
      <w:r w:rsidR="004B4AE3">
        <w:rPr>
          <w:sz w:val="24"/>
          <w:szCs w:val="22"/>
        </w:rPr>
        <w:t>/</w:t>
      </w:r>
      <w:r w:rsidRPr="009818A2">
        <w:rPr>
          <w:sz w:val="24"/>
          <w:szCs w:val="22"/>
        </w:rPr>
        <w:t xml:space="preserve">authorized or amended. Lower-rated credits require increasingly more senior management involvement, or Risk Policy Committee approval, depending on the aggregate exposure. </w:t>
      </w:r>
    </w:p>
    <w:p w14:paraId="29F41D3F" w14:textId="77777777" w:rsidR="00EC07BA" w:rsidRPr="001D70E9" w:rsidRDefault="00EC07BA" w:rsidP="00EC07BA">
      <w:pPr>
        <w:jc w:val="both"/>
        <w:rPr>
          <w:sz w:val="22"/>
          <w:szCs w:val="22"/>
        </w:rPr>
      </w:pPr>
    </w:p>
    <w:p w14:paraId="1512B66F" w14:textId="77777777" w:rsidR="00EC07BA" w:rsidRPr="009818A2" w:rsidRDefault="00EC07BA" w:rsidP="00EC07BA">
      <w:pPr>
        <w:ind w:firstLine="720"/>
        <w:jc w:val="both"/>
        <w:rPr>
          <w:sz w:val="24"/>
          <w:szCs w:val="22"/>
        </w:rPr>
      </w:pPr>
      <w:r w:rsidRPr="009818A2">
        <w:rPr>
          <w:sz w:val="24"/>
          <w:szCs w:val="22"/>
        </w:rPr>
        <w:t xml:space="preserve">Global Risk Management is the final arbiter of internal risk ratings.  </w:t>
      </w:r>
    </w:p>
    <w:p w14:paraId="09ED6AD0" w14:textId="77777777" w:rsidR="00EC07BA" w:rsidRPr="009818A2" w:rsidRDefault="00EC07BA" w:rsidP="00EC07BA">
      <w:pPr>
        <w:jc w:val="both"/>
        <w:rPr>
          <w:sz w:val="24"/>
          <w:szCs w:val="22"/>
        </w:rPr>
      </w:pPr>
    </w:p>
    <w:p w14:paraId="742760A9" w14:textId="77777777" w:rsidR="00EC07BA" w:rsidRPr="009818A2" w:rsidRDefault="00EC07BA" w:rsidP="00EC07BA">
      <w:pPr>
        <w:ind w:left="720"/>
        <w:jc w:val="both"/>
        <w:rPr>
          <w:sz w:val="24"/>
          <w:szCs w:val="22"/>
        </w:rPr>
      </w:pPr>
      <w:r w:rsidRPr="009818A2">
        <w:rPr>
          <w:sz w:val="24"/>
          <w:szCs w:val="22"/>
        </w:rPr>
        <w:t>For recognition of past due and impaired loans and advances, the Bank follows guidelines prescribed by Reserve Bank of India as contained in circular DBOD.No.BP.BC.</w:t>
      </w:r>
      <w:r w:rsidR="002F28AC" w:rsidRPr="009818A2">
        <w:rPr>
          <w:sz w:val="24"/>
          <w:szCs w:val="22"/>
        </w:rPr>
        <w:t>9</w:t>
      </w:r>
      <w:r w:rsidRPr="009818A2">
        <w:rPr>
          <w:sz w:val="24"/>
          <w:szCs w:val="22"/>
        </w:rPr>
        <w:t>/21.04.048/201</w:t>
      </w:r>
      <w:r w:rsidR="00B017EE" w:rsidRPr="009818A2">
        <w:rPr>
          <w:sz w:val="24"/>
          <w:szCs w:val="22"/>
        </w:rPr>
        <w:t>5</w:t>
      </w:r>
      <w:r w:rsidRPr="009818A2">
        <w:rPr>
          <w:sz w:val="24"/>
          <w:szCs w:val="22"/>
        </w:rPr>
        <w:t>-1</w:t>
      </w:r>
      <w:r w:rsidR="00B017EE" w:rsidRPr="009818A2">
        <w:rPr>
          <w:sz w:val="24"/>
          <w:szCs w:val="22"/>
        </w:rPr>
        <w:t>6</w:t>
      </w:r>
      <w:r w:rsidRPr="009818A2">
        <w:rPr>
          <w:sz w:val="24"/>
          <w:szCs w:val="22"/>
        </w:rPr>
        <w:t xml:space="preserve"> dated July 01, 201</w:t>
      </w:r>
      <w:r w:rsidR="00B017EE" w:rsidRPr="009818A2">
        <w:rPr>
          <w:sz w:val="24"/>
          <w:szCs w:val="22"/>
        </w:rPr>
        <w:t>5</w:t>
      </w:r>
      <w:r w:rsidRPr="009818A2">
        <w:rPr>
          <w:sz w:val="24"/>
          <w:szCs w:val="22"/>
        </w:rPr>
        <w:t xml:space="preserve"> on “Prudential norms on Income Recognition, Asset Classification and Provisioning pertaining to Advances” and other circulars/notifications issued by RBI during the course of the year in this regard.</w:t>
      </w:r>
    </w:p>
    <w:p w14:paraId="25B42EF4" w14:textId="77777777" w:rsidR="004C198E" w:rsidRDefault="004C198E" w:rsidP="00EC07BA">
      <w:pPr>
        <w:rPr>
          <w:b/>
          <w:sz w:val="24"/>
          <w:szCs w:val="22"/>
        </w:rPr>
      </w:pPr>
    </w:p>
    <w:p w14:paraId="286D7EE1" w14:textId="77777777" w:rsidR="00981466" w:rsidRPr="009818A2" w:rsidRDefault="00981466" w:rsidP="00EC07BA">
      <w:pPr>
        <w:rPr>
          <w:b/>
          <w:sz w:val="24"/>
          <w:szCs w:val="22"/>
        </w:rPr>
      </w:pPr>
    </w:p>
    <w:p w14:paraId="0BA9552F" w14:textId="754B6324" w:rsidR="00EC07BA" w:rsidRDefault="00EC07BA" w:rsidP="002765F8">
      <w:pPr>
        <w:ind w:left="432" w:firstLine="288"/>
        <w:rPr>
          <w:b/>
          <w:sz w:val="24"/>
          <w:szCs w:val="22"/>
        </w:rPr>
      </w:pPr>
      <w:r w:rsidRPr="009818A2">
        <w:rPr>
          <w:b/>
          <w:sz w:val="24"/>
          <w:szCs w:val="22"/>
        </w:rPr>
        <w:t>Quantitative Disclosures</w:t>
      </w:r>
    </w:p>
    <w:p w14:paraId="682741E7" w14:textId="77777777" w:rsidR="0018711F" w:rsidRPr="009818A2" w:rsidRDefault="0018711F" w:rsidP="002765F8">
      <w:pPr>
        <w:ind w:left="432" w:firstLine="288"/>
        <w:rPr>
          <w:b/>
          <w:sz w:val="24"/>
          <w:szCs w:val="22"/>
        </w:rPr>
      </w:pPr>
    </w:p>
    <w:p w14:paraId="7A359E93" w14:textId="77777777" w:rsidR="00EC07BA" w:rsidRPr="009818A2" w:rsidRDefault="00EC07BA" w:rsidP="004418C3">
      <w:pPr>
        <w:pStyle w:val="ListParagraph"/>
        <w:numPr>
          <w:ilvl w:val="0"/>
          <w:numId w:val="9"/>
        </w:numPr>
        <w:tabs>
          <w:tab w:val="left" w:pos="1440"/>
        </w:tabs>
        <w:rPr>
          <w:sz w:val="24"/>
          <w:szCs w:val="22"/>
        </w:rPr>
      </w:pPr>
      <w:r w:rsidRPr="009818A2">
        <w:rPr>
          <w:sz w:val="24"/>
          <w:szCs w:val="22"/>
        </w:rPr>
        <w:t>Gross Credit Risk Exposures</w:t>
      </w:r>
      <w:r w:rsidRPr="009818A2">
        <w:rPr>
          <w:sz w:val="24"/>
          <w:szCs w:val="22"/>
        </w:rPr>
        <w:tab/>
      </w:r>
      <w:r w:rsidRPr="009818A2">
        <w:rPr>
          <w:sz w:val="24"/>
          <w:szCs w:val="22"/>
        </w:rPr>
        <w:tab/>
      </w:r>
      <w:r w:rsidRPr="009818A2">
        <w:rPr>
          <w:sz w:val="24"/>
          <w:szCs w:val="22"/>
        </w:rPr>
        <w:tab/>
      </w:r>
      <w:r w:rsidRPr="009818A2">
        <w:rPr>
          <w:sz w:val="24"/>
          <w:szCs w:val="22"/>
        </w:rPr>
        <w:tab/>
      </w:r>
      <w:r w:rsidR="004418C3" w:rsidRPr="009818A2">
        <w:rPr>
          <w:sz w:val="24"/>
          <w:szCs w:val="22"/>
        </w:rPr>
        <w:t xml:space="preserve">                                                    </w:t>
      </w:r>
      <w:r w:rsidR="009818A2">
        <w:rPr>
          <w:sz w:val="24"/>
          <w:szCs w:val="22"/>
        </w:rPr>
        <w:t xml:space="preserve"> </w:t>
      </w:r>
      <w:r w:rsidR="004418C3" w:rsidRPr="009818A2">
        <w:rPr>
          <w:sz w:val="24"/>
          <w:szCs w:val="22"/>
        </w:rPr>
        <w:t xml:space="preserve"> (</w:t>
      </w:r>
      <w:r w:rsidR="00757C07" w:rsidRPr="009818A2">
        <w:rPr>
          <w:sz w:val="24"/>
          <w:szCs w:val="22"/>
        </w:rPr>
        <w:t xml:space="preserve">In </w:t>
      </w:r>
      <w:r w:rsidR="009818A2">
        <w:rPr>
          <w:sz w:val="24"/>
          <w:szCs w:val="22"/>
        </w:rPr>
        <w:t>Rs.000’s)</w:t>
      </w:r>
      <w:r w:rsidR="004418C3" w:rsidRPr="009818A2">
        <w:rPr>
          <w:sz w:val="24"/>
          <w:szCs w:val="22"/>
        </w:rPr>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2312"/>
      </w:tblGrid>
      <w:tr w:rsidR="00891A21" w:rsidRPr="009818A2" w14:paraId="10394EAB" w14:textId="77777777" w:rsidTr="009818A2">
        <w:trPr>
          <w:trHeight w:val="300"/>
        </w:trPr>
        <w:tc>
          <w:tcPr>
            <w:tcW w:w="5850" w:type="dxa"/>
            <w:shd w:val="clear" w:color="auto" w:fill="auto"/>
            <w:noWrap/>
            <w:vAlign w:val="center"/>
            <w:hideMark/>
          </w:tcPr>
          <w:p w14:paraId="76115793"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Total Fund Based Credit Risk Exposure </w:t>
            </w:r>
            <w:r w:rsidRPr="009818A2">
              <w:rPr>
                <w:iCs/>
                <w:color w:val="000000"/>
                <w:sz w:val="24"/>
                <w:szCs w:val="22"/>
                <w:lang w:eastAsia="en-CA"/>
              </w:rPr>
              <w:t>(Note 1)</w:t>
            </w:r>
          </w:p>
        </w:tc>
        <w:tc>
          <w:tcPr>
            <w:tcW w:w="2430" w:type="dxa"/>
            <w:shd w:val="clear" w:color="auto" w:fill="auto"/>
            <w:vAlign w:val="center"/>
            <w:hideMark/>
          </w:tcPr>
          <w:p w14:paraId="12598B15" w14:textId="0A716CB1" w:rsidR="00891A21" w:rsidRPr="009818A2" w:rsidRDefault="006C2CF9" w:rsidP="000109C9">
            <w:pPr>
              <w:overflowPunct/>
              <w:autoSpaceDE/>
              <w:autoSpaceDN/>
              <w:adjustRightInd/>
              <w:jc w:val="right"/>
              <w:textAlignment w:val="auto"/>
              <w:rPr>
                <w:color w:val="000000"/>
                <w:sz w:val="24"/>
                <w:szCs w:val="22"/>
                <w:lang w:val="en-CA" w:eastAsia="en-CA"/>
              </w:rPr>
            </w:pPr>
            <w:r>
              <w:rPr>
                <w:color w:val="000000"/>
                <w:sz w:val="24"/>
                <w:szCs w:val="22"/>
                <w:lang w:val="en-CA" w:eastAsia="en-CA"/>
              </w:rPr>
              <w:t>38</w:t>
            </w:r>
            <w:r w:rsidR="00B86DBC">
              <w:rPr>
                <w:color w:val="000000"/>
                <w:sz w:val="24"/>
                <w:szCs w:val="22"/>
                <w:lang w:val="en-CA" w:eastAsia="en-CA"/>
              </w:rPr>
              <w:t>,</w:t>
            </w:r>
            <w:r>
              <w:rPr>
                <w:color w:val="000000"/>
                <w:sz w:val="24"/>
                <w:szCs w:val="22"/>
                <w:lang w:val="en-CA" w:eastAsia="en-CA"/>
              </w:rPr>
              <w:t>894</w:t>
            </w:r>
            <w:r w:rsidR="00B86DBC">
              <w:rPr>
                <w:color w:val="000000"/>
                <w:sz w:val="24"/>
                <w:szCs w:val="22"/>
                <w:lang w:val="en-CA" w:eastAsia="en-CA"/>
              </w:rPr>
              <w:t>,</w:t>
            </w:r>
            <w:r>
              <w:rPr>
                <w:color w:val="000000"/>
                <w:sz w:val="24"/>
                <w:szCs w:val="22"/>
                <w:lang w:val="en-CA" w:eastAsia="en-CA"/>
              </w:rPr>
              <w:t>525</w:t>
            </w:r>
          </w:p>
        </w:tc>
      </w:tr>
      <w:tr w:rsidR="00C46021" w:rsidRPr="009818A2" w14:paraId="36D29295" w14:textId="77777777" w:rsidTr="009818A2">
        <w:trPr>
          <w:trHeight w:val="300"/>
        </w:trPr>
        <w:tc>
          <w:tcPr>
            <w:tcW w:w="5850" w:type="dxa"/>
            <w:shd w:val="clear" w:color="auto" w:fill="auto"/>
            <w:noWrap/>
            <w:vAlign w:val="center"/>
            <w:hideMark/>
          </w:tcPr>
          <w:p w14:paraId="018BA5C8" w14:textId="77777777" w:rsidR="00C46021" w:rsidRPr="009818A2" w:rsidRDefault="00C460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Total Non-Fund Based Credit Risk Exposure (Note 2)</w:t>
            </w:r>
          </w:p>
        </w:tc>
        <w:tc>
          <w:tcPr>
            <w:tcW w:w="2430" w:type="dxa"/>
            <w:shd w:val="clear" w:color="auto" w:fill="auto"/>
            <w:vAlign w:val="center"/>
            <w:hideMark/>
          </w:tcPr>
          <w:p w14:paraId="65638AD9" w14:textId="3571C156" w:rsidR="00C46021" w:rsidRPr="009818A2" w:rsidRDefault="006C2CF9" w:rsidP="00D82B1F">
            <w:pPr>
              <w:overflowPunct/>
              <w:autoSpaceDE/>
              <w:autoSpaceDN/>
              <w:adjustRightInd/>
              <w:jc w:val="right"/>
              <w:textAlignment w:val="auto"/>
              <w:rPr>
                <w:color w:val="000000"/>
                <w:sz w:val="24"/>
                <w:szCs w:val="22"/>
                <w:lang w:val="en-CA" w:eastAsia="en-CA"/>
              </w:rPr>
            </w:pPr>
            <w:r>
              <w:rPr>
                <w:color w:val="000000"/>
                <w:sz w:val="24"/>
                <w:szCs w:val="22"/>
                <w:lang w:val="en-CA" w:eastAsia="en-CA"/>
              </w:rPr>
              <w:t>9</w:t>
            </w:r>
            <w:r w:rsidR="00B86DBC">
              <w:rPr>
                <w:color w:val="000000"/>
                <w:sz w:val="24"/>
                <w:szCs w:val="22"/>
                <w:lang w:val="en-CA" w:eastAsia="en-CA"/>
              </w:rPr>
              <w:t>,</w:t>
            </w:r>
            <w:r>
              <w:rPr>
                <w:color w:val="000000"/>
                <w:sz w:val="24"/>
                <w:szCs w:val="22"/>
                <w:lang w:val="en-CA" w:eastAsia="en-CA"/>
              </w:rPr>
              <w:t>990</w:t>
            </w:r>
            <w:r w:rsidR="00B86DBC">
              <w:rPr>
                <w:color w:val="000000"/>
                <w:sz w:val="24"/>
                <w:szCs w:val="22"/>
                <w:lang w:val="en-CA" w:eastAsia="en-CA"/>
              </w:rPr>
              <w:t>,</w:t>
            </w:r>
            <w:r>
              <w:rPr>
                <w:color w:val="000000"/>
                <w:sz w:val="24"/>
                <w:szCs w:val="22"/>
                <w:lang w:val="en-CA" w:eastAsia="en-CA"/>
              </w:rPr>
              <w:t>013</w:t>
            </w:r>
          </w:p>
        </w:tc>
      </w:tr>
      <w:tr w:rsidR="00C46021" w:rsidRPr="009818A2" w14:paraId="76E848B0" w14:textId="77777777" w:rsidTr="009818A2">
        <w:trPr>
          <w:trHeight w:val="300"/>
        </w:trPr>
        <w:tc>
          <w:tcPr>
            <w:tcW w:w="5850" w:type="dxa"/>
            <w:shd w:val="clear" w:color="auto" w:fill="auto"/>
            <w:noWrap/>
            <w:vAlign w:val="center"/>
            <w:hideMark/>
          </w:tcPr>
          <w:p w14:paraId="474E24B6" w14:textId="77777777" w:rsidR="00C46021" w:rsidRPr="009818A2" w:rsidRDefault="00C460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Total</w:t>
            </w:r>
          </w:p>
        </w:tc>
        <w:tc>
          <w:tcPr>
            <w:tcW w:w="2430" w:type="dxa"/>
            <w:shd w:val="clear" w:color="auto" w:fill="auto"/>
            <w:vAlign w:val="center"/>
            <w:hideMark/>
          </w:tcPr>
          <w:p w14:paraId="1BE33801" w14:textId="08BFD1B4" w:rsidR="00C46021" w:rsidRPr="009818A2" w:rsidRDefault="00F93CFA" w:rsidP="00D82B1F">
            <w:pPr>
              <w:overflowPunct/>
              <w:autoSpaceDE/>
              <w:autoSpaceDN/>
              <w:adjustRightInd/>
              <w:jc w:val="right"/>
              <w:textAlignment w:val="auto"/>
              <w:rPr>
                <w:color w:val="000000"/>
                <w:sz w:val="24"/>
                <w:szCs w:val="22"/>
                <w:lang w:val="en-CA" w:eastAsia="en-CA"/>
              </w:rPr>
            </w:pPr>
            <w:r>
              <w:rPr>
                <w:color w:val="000000"/>
                <w:sz w:val="24"/>
                <w:szCs w:val="22"/>
                <w:lang w:val="en-CA" w:eastAsia="en-CA"/>
              </w:rPr>
              <w:t>48</w:t>
            </w:r>
            <w:r w:rsidR="00B86DBC">
              <w:rPr>
                <w:color w:val="000000"/>
                <w:sz w:val="24"/>
                <w:szCs w:val="22"/>
                <w:lang w:val="en-CA" w:eastAsia="en-CA"/>
              </w:rPr>
              <w:t>,</w:t>
            </w:r>
            <w:r>
              <w:rPr>
                <w:color w:val="000000"/>
                <w:sz w:val="24"/>
                <w:szCs w:val="22"/>
                <w:lang w:val="en-CA" w:eastAsia="en-CA"/>
              </w:rPr>
              <w:t>884</w:t>
            </w:r>
            <w:r w:rsidR="00B86DBC">
              <w:rPr>
                <w:color w:val="000000"/>
                <w:sz w:val="24"/>
                <w:szCs w:val="22"/>
                <w:lang w:val="en-CA" w:eastAsia="en-CA"/>
              </w:rPr>
              <w:t>,</w:t>
            </w:r>
            <w:r>
              <w:rPr>
                <w:color w:val="000000"/>
                <w:sz w:val="24"/>
                <w:szCs w:val="22"/>
                <w:lang w:val="en-CA" w:eastAsia="en-CA"/>
              </w:rPr>
              <w:t>538</w:t>
            </w:r>
          </w:p>
        </w:tc>
      </w:tr>
    </w:tbl>
    <w:p w14:paraId="48398F55" w14:textId="77777777" w:rsidR="00891A21" w:rsidRPr="00981466" w:rsidRDefault="00891A21" w:rsidP="00EC07BA">
      <w:pPr>
        <w:ind w:left="2340" w:hanging="900"/>
        <w:rPr>
          <w:sz w:val="24"/>
          <w:szCs w:val="22"/>
        </w:rPr>
      </w:pPr>
    </w:p>
    <w:p w14:paraId="633C9268" w14:textId="77777777" w:rsidR="00EC07BA" w:rsidRPr="00981466" w:rsidRDefault="00EC07BA" w:rsidP="00EC07BA">
      <w:pPr>
        <w:ind w:left="2340" w:hanging="900"/>
        <w:rPr>
          <w:sz w:val="24"/>
          <w:szCs w:val="22"/>
        </w:rPr>
      </w:pPr>
      <w:r w:rsidRPr="00981466">
        <w:rPr>
          <w:sz w:val="24"/>
          <w:szCs w:val="22"/>
        </w:rPr>
        <w:t>Note 1: Amount represents funded exposure before credit risk mitigants.</w:t>
      </w:r>
    </w:p>
    <w:p w14:paraId="25C99A84" w14:textId="77777777" w:rsidR="00EC07BA" w:rsidRPr="00981466" w:rsidRDefault="00EC07BA" w:rsidP="00EC07BA">
      <w:pPr>
        <w:ind w:left="2340" w:hanging="900"/>
        <w:jc w:val="both"/>
        <w:rPr>
          <w:sz w:val="24"/>
          <w:szCs w:val="22"/>
        </w:rPr>
      </w:pPr>
      <w:r w:rsidRPr="00981466">
        <w:rPr>
          <w:sz w:val="24"/>
          <w:szCs w:val="22"/>
        </w:rPr>
        <w:t>Note</w:t>
      </w:r>
      <w:r w:rsidR="00A95EE4" w:rsidRPr="00981466">
        <w:rPr>
          <w:sz w:val="24"/>
          <w:szCs w:val="22"/>
        </w:rPr>
        <w:t xml:space="preserve"> </w:t>
      </w:r>
      <w:r w:rsidRPr="00981466">
        <w:rPr>
          <w:sz w:val="24"/>
          <w:szCs w:val="22"/>
        </w:rPr>
        <w:t>2: Amount represents non-funded exposure as per current exposure method and before credit risk mitigants.</w:t>
      </w:r>
    </w:p>
    <w:p w14:paraId="423981A9" w14:textId="77777777" w:rsidR="00EC07BA" w:rsidRPr="00981466" w:rsidRDefault="00EC07BA" w:rsidP="00EC07BA">
      <w:pPr>
        <w:rPr>
          <w:sz w:val="24"/>
          <w:szCs w:val="22"/>
        </w:rPr>
      </w:pPr>
    </w:p>
    <w:p w14:paraId="333003B7" w14:textId="77777777" w:rsidR="00891A21" w:rsidRPr="00981466" w:rsidRDefault="00EC07BA" w:rsidP="00981466">
      <w:pPr>
        <w:pStyle w:val="ListParagraph"/>
        <w:numPr>
          <w:ilvl w:val="0"/>
          <w:numId w:val="9"/>
        </w:numPr>
        <w:tabs>
          <w:tab w:val="left" w:pos="1440"/>
        </w:tabs>
        <w:ind w:right="-90"/>
        <w:rPr>
          <w:sz w:val="24"/>
          <w:szCs w:val="22"/>
        </w:rPr>
      </w:pPr>
      <w:r w:rsidRPr="00981466">
        <w:rPr>
          <w:sz w:val="24"/>
          <w:szCs w:val="22"/>
        </w:rPr>
        <w:t xml:space="preserve">Geographic Distribution of Exposures </w:t>
      </w:r>
      <w:r w:rsidRPr="00981466">
        <w:rPr>
          <w:sz w:val="24"/>
          <w:szCs w:val="22"/>
        </w:rPr>
        <w:tab/>
      </w:r>
      <w:r w:rsidRPr="00981466">
        <w:rPr>
          <w:sz w:val="24"/>
          <w:szCs w:val="22"/>
        </w:rPr>
        <w:tab/>
      </w:r>
      <w:r w:rsidR="004418C3" w:rsidRPr="00981466">
        <w:rPr>
          <w:sz w:val="24"/>
          <w:szCs w:val="22"/>
        </w:rPr>
        <w:t xml:space="preserve">                                             </w:t>
      </w:r>
      <w:r w:rsidR="00981466">
        <w:rPr>
          <w:sz w:val="24"/>
          <w:szCs w:val="22"/>
        </w:rPr>
        <w:t xml:space="preserve"> </w:t>
      </w:r>
      <w:r w:rsidR="004418C3" w:rsidRPr="00981466">
        <w:rPr>
          <w:sz w:val="24"/>
          <w:szCs w:val="22"/>
        </w:rPr>
        <w:t xml:space="preserve">   </w:t>
      </w:r>
      <w:r w:rsidR="002B2C1E" w:rsidRPr="00981466">
        <w:rPr>
          <w:sz w:val="24"/>
          <w:szCs w:val="22"/>
        </w:rPr>
        <w:t xml:space="preserve"> </w:t>
      </w:r>
      <w:r w:rsidR="004418C3" w:rsidRPr="00981466">
        <w:rPr>
          <w:sz w:val="24"/>
          <w:szCs w:val="22"/>
        </w:rPr>
        <w:t>(</w:t>
      </w:r>
      <w:r w:rsidR="002B2C1E" w:rsidRPr="00981466">
        <w:rPr>
          <w:sz w:val="24"/>
          <w:szCs w:val="22"/>
        </w:rPr>
        <w:t xml:space="preserve">In </w:t>
      </w:r>
      <w:r w:rsidR="004418C3" w:rsidRPr="00981466">
        <w:rPr>
          <w:sz w:val="24"/>
          <w:szCs w:val="22"/>
        </w:rPr>
        <w:t xml:space="preserve">Rs.000’s) </w:t>
      </w:r>
    </w:p>
    <w:tbl>
      <w:tblPr>
        <w:tblW w:w="8280" w:type="dxa"/>
        <w:tblInd w:w="1548" w:type="dxa"/>
        <w:tblLook w:val="04A0" w:firstRow="1" w:lastRow="0" w:firstColumn="1" w:lastColumn="0" w:noHBand="0" w:noVBand="1"/>
      </w:tblPr>
      <w:tblGrid>
        <w:gridCol w:w="4230"/>
        <w:gridCol w:w="1620"/>
        <w:gridCol w:w="2430"/>
      </w:tblGrid>
      <w:tr w:rsidR="000109C9" w:rsidRPr="00981466" w14:paraId="2C80F9B8" w14:textId="77777777" w:rsidTr="009B4E07">
        <w:trPr>
          <w:trHeight w:val="300"/>
        </w:trPr>
        <w:tc>
          <w:tcPr>
            <w:tcW w:w="4230" w:type="dxa"/>
            <w:tcBorders>
              <w:top w:val="single" w:sz="4" w:space="0" w:color="auto"/>
              <w:left w:val="single" w:sz="4" w:space="0" w:color="auto"/>
              <w:bottom w:val="single" w:sz="4" w:space="0" w:color="auto"/>
              <w:right w:val="nil"/>
            </w:tcBorders>
            <w:shd w:val="clear" w:color="auto" w:fill="auto"/>
            <w:noWrap/>
            <w:vAlign w:val="center"/>
            <w:hideMark/>
          </w:tcPr>
          <w:p w14:paraId="56E99AC5" w14:textId="77777777" w:rsidR="000109C9" w:rsidRPr="00981466" w:rsidRDefault="000109C9" w:rsidP="009B4E07">
            <w:pPr>
              <w:overflowPunct/>
              <w:autoSpaceDE/>
              <w:autoSpaceDN/>
              <w:adjustRightInd/>
              <w:textAlignment w:val="auto"/>
              <w:rPr>
                <w:color w:val="000000"/>
                <w:sz w:val="24"/>
                <w:szCs w:val="22"/>
                <w:lang w:val="en-CA" w:eastAsia="en-CA"/>
              </w:rPr>
            </w:pPr>
            <w:r w:rsidRPr="00981466">
              <w:rPr>
                <w:color w:val="000000"/>
                <w:sz w:val="24"/>
                <w:szCs w:val="22"/>
                <w:lang w:eastAsia="en-CA"/>
              </w:rPr>
              <w:t> </w:t>
            </w:r>
          </w:p>
        </w:tc>
        <w:tc>
          <w:tcPr>
            <w:tcW w:w="1620" w:type="dxa"/>
            <w:tcBorders>
              <w:top w:val="single" w:sz="4" w:space="0" w:color="auto"/>
              <w:left w:val="single" w:sz="4" w:space="0" w:color="auto"/>
              <w:bottom w:val="single" w:sz="4" w:space="0" w:color="auto"/>
              <w:right w:val="nil"/>
            </w:tcBorders>
            <w:shd w:val="clear" w:color="auto" w:fill="auto"/>
            <w:noWrap/>
            <w:vAlign w:val="center"/>
            <w:hideMark/>
          </w:tcPr>
          <w:p w14:paraId="5AE34FE8" w14:textId="77777777" w:rsidR="000109C9" w:rsidRPr="00981466" w:rsidRDefault="000109C9" w:rsidP="009B4E07">
            <w:pPr>
              <w:overflowPunct/>
              <w:autoSpaceDE/>
              <w:autoSpaceDN/>
              <w:adjustRightInd/>
              <w:textAlignment w:val="auto"/>
              <w:rPr>
                <w:color w:val="000000"/>
                <w:sz w:val="24"/>
                <w:szCs w:val="22"/>
                <w:lang w:val="en-CA" w:eastAsia="en-CA"/>
              </w:rPr>
            </w:pPr>
            <w:r w:rsidRPr="00981466">
              <w:rPr>
                <w:color w:val="000000"/>
                <w:sz w:val="24"/>
                <w:szCs w:val="22"/>
                <w:lang w:eastAsia="en-CA"/>
              </w:rPr>
              <w:t>Fund Based</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D570A" w14:textId="77777777" w:rsidR="000109C9" w:rsidRPr="00981466" w:rsidRDefault="000109C9" w:rsidP="009B4E07">
            <w:pPr>
              <w:overflowPunct/>
              <w:autoSpaceDE/>
              <w:autoSpaceDN/>
              <w:adjustRightInd/>
              <w:jc w:val="center"/>
              <w:textAlignment w:val="auto"/>
              <w:rPr>
                <w:color w:val="000000"/>
                <w:sz w:val="24"/>
                <w:szCs w:val="22"/>
                <w:lang w:val="en-CA" w:eastAsia="en-CA"/>
              </w:rPr>
            </w:pPr>
            <w:r w:rsidRPr="00981466">
              <w:rPr>
                <w:color w:val="000000"/>
                <w:sz w:val="24"/>
                <w:szCs w:val="22"/>
                <w:lang w:eastAsia="en-CA"/>
              </w:rPr>
              <w:t>Non Fund Based</w:t>
            </w:r>
          </w:p>
        </w:tc>
      </w:tr>
      <w:tr w:rsidR="006C1F29" w:rsidRPr="00981466" w14:paraId="4B96582F" w14:textId="77777777" w:rsidTr="009B4E07">
        <w:trPr>
          <w:trHeight w:val="300"/>
        </w:trPr>
        <w:tc>
          <w:tcPr>
            <w:tcW w:w="4230" w:type="dxa"/>
            <w:tcBorders>
              <w:top w:val="single" w:sz="4" w:space="0" w:color="auto"/>
              <w:left w:val="single" w:sz="4" w:space="0" w:color="auto"/>
              <w:bottom w:val="single" w:sz="4" w:space="0" w:color="auto"/>
              <w:right w:val="nil"/>
            </w:tcBorders>
            <w:shd w:val="clear" w:color="auto" w:fill="auto"/>
            <w:noWrap/>
            <w:vAlign w:val="center"/>
            <w:hideMark/>
          </w:tcPr>
          <w:p w14:paraId="6AF8CE93" w14:textId="77777777" w:rsidR="006C1F29" w:rsidRPr="00981466" w:rsidRDefault="006C1F29" w:rsidP="006C1F29">
            <w:pPr>
              <w:overflowPunct/>
              <w:autoSpaceDE/>
              <w:autoSpaceDN/>
              <w:adjustRightInd/>
              <w:textAlignment w:val="auto"/>
              <w:rPr>
                <w:color w:val="000000"/>
                <w:sz w:val="24"/>
                <w:szCs w:val="22"/>
                <w:lang w:val="en-CA" w:eastAsia="en-CA"/>
              </w:rPr>
            </w:pPr>
            <w:r w:rsidRPr="00981466">
              <w:rPr>
                <w:color w:val="000000"/>
                <w:sz w:val="24"/>
                <w:szCs w:val="22"/>
                <w:lang w:eastAsia="en-CA"/>
              </w:rPr>
              <w:t>Overseas</w:t>
            </w:r>
          </w:p>
        </w:tc>
        <w:tc>
          <w:tcPr>
            <w:tcW w:w="1620" w:type="dxa"/>
            <w:tcBorders>
              <w:top w:val="single" w:sz="4" w:space="0" w:color="auto"/>
              <w:left w:val="single" w:sz="4" w:space="0" w:color="auto"/>
              <w:bottom w:val="single" w:sz="4" w:space="0" w:color="auto"/>
              <w:right w:val="nil"/>
            </w:tcBorders>
            <w:shd w:val="clear" w:color="auto" w:fill="auto"/>
            <w:noWrap/>
            <w:vAlign w:val="center"/>
            <w:hideMark/>
          </w:tcPr>
          <w:p w14:paraId="6619C939" w14:textId="49F029D3" w:rsidR="006C1F29" w:rsidRPr="003D6D88" w:rsidRDefault="006C1F29" w:rsidP="006C1F29">
            <w:pPr>
              <w:overflowPunct/>
              <w:autoSpaceDE/>
              <w:autoSpaceDN/>
              <w:adjustRightInd/>
              <w:jc w:val="right"/>
              <w:textAlignment w:val="auto"/>
              <w:rPr>
                <w:color w:val="000000"/>
                <w:sz w:val="24"/>
                <w:szCs w:val="22"/>
                <w:lang w:val="en-CA" w:eastAsia="en-CA"/>
              </w:rPr>
            </w:pPr>
            <w:r w:rsidRPr="003D6D88">
              <w:rPr>
                <w:color w:val="000000"/>
                <w:sz w:val="22"/>
                <w:szCs w:val="22"/>
              </w:rPr>
              <w:t>1,</w:t>
            </w:r>
            <w:r w:rsidR="00F93CFA">
              <w:rPr>
                <w:color w:val="000000"/>
                <w:sz w:val="22"/>
                <w:szCs w:val="22"/>
              </w:rPr>
              <w:t>444</w:t>
            </w:r>
            <w:r w:rsidRPr="003D6D88">
              <w:rPr>
                <w:color w:val="000000"/>
                <w:sz w:val="22"/>
                <w:szCs w:val="22"/>
              </w:rPr>
              <w:t>,</w:t>
            </w:r>
            <w:r w:rsidR="00F93CFA">
              <w:rPr>
                <w:color w:val="000000"/>
                <w:sz w:val="22"/>
                <w:szCs w:val="22"/>
              </w:rPr>
              <w:t>691</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9783C" w14:textId="56D02382" w:rsidR="006C1F29" w:rsidRPr="003D6D88" w:rsidRDefault="00F93CFA" w:rsidP="006C1F29">
            <w:pPr>
              <w:overflowPunct/>
              <w:autoSpaceDE/>
              <w:autoSpaceDN/>
              <w:adjustRightInd/>
              <w:jc w:val="right"/>
              <w:textAlignment w:val="auto"/>
              <w:rPr>
                <w:color w:val="000000"/>
                <w:sz w:val="24"/>
                <w:szCs w:val="22"/>
                <w:lang w:val="en-CA" w:eastAsia="en-CA"/>
              </w:rPr>
            </w:pPr>
            <w:r>
              <w:rPr>
                <w:color w:val="000000"/>
                <w:sz w:val="22"/>
                <w:szCs w:val="22"/>
              </w:rPr>
              <w:t>3</w:t>
            </w:r>
            <w:r w:rsidR="006C1F29" w:rsidRPr="003D6D88">
              <w:rPr>
                <w:color w:val="000000"/>
                <w:sz w:val="22"/>
                <w:szCs w:val="22"/>
              </w:rPr>
              <w:t>,</w:t>
            </w:r>
            <w:r>
              <w:rPr>
                <w:color w:val="000000"/>
                <w:sz w:val="22"/>
                <w:szCs w:val="22"/>
              </w:rPr>
              <w:t>908</w:t>
            </w:r>
            <w:r w:rsidR="006C1F29" w:rsidRPr="003D6D88">
              <w:rPr>
                <w:color w:val="000000"/>
                <w:sz w:val="22"/>
                <w:szCs w:val="22"/>
              </w:rPr>
              <w:t>,</w:t>
            </w:r>
            <w:r>
              <w:rPr>
                <w:color w:val="000000"/>
                <w:sz w:val="22"/>
                <w:szCs w:val="22"/>
              </w:rPr>
              <w:t>377</w:t>
            </w:r>
          </w:p>
        </w:tc>
      </w:tr>
      <w:tr w:rsidR="006C1F29" w:rsidRPr="00981466" w14:paraId="5048B547" w14:textId="77777777" w:rsidTr="009B4E07">
        <w:trPr>
          <w:trHeight w:val="300"/>
        </w:trPr>
        <w:tc>
          <w:tcPr>
            <w:tcW w:w="4230" w:type="dxa"/>
            <w:tcBorders>
              <w:top w:val="single" w:sz="4" w:space="0" w:color="auto"/>
              <w:left w:val="single" w:sz="4" w:space="0" w:color="auto"/>
              <w:bottom w:val="single" w:sz="4" w:space="0" w:color="auto"/>
              <w:right w:val="nil"/>
            </w:tcBorders>
            <w:shd w:val="clear" w:color="auto" w:fill="auto"/>
            <w:noWrap/>
            <w:vAlign w:val="center"/>
            <w:hideMark/>
          </w:tcPr>
          <w:p w14:paraId="61C1DA5D" w14:textId="77777777" w:rsidR="006C1F29" w:rsidRPr="00981466" w:rsidRDefault="006C1F29" w:rsidP="006C1F29">
            <w:pPr>
              <w:overflowPunct/>
              <w:autoSpaceDE/>
              <w:autoSpaceDN/>
              <w:adjustRightInd/>
              <w:textAlignment w:val="auto"/>
              <w:rPr>
                <w:color w:val="000000"/>
                <w:sz w:val="24"/>
                <w:szCs w:val="22"/>
                <w:lang w:val="en-CA" w:eastAsia="en-CA"/>
              </w:rPr>
            </w:pPr>
            <w:r w:rsidRPr="00981466">
              <w:rPr>
                <w:color w:val="000000"/>
                <w:sz w:val="24"/>
                <w:szCs w:val="22"/>
                <w:lang w:eastAsia="en-CA"/>
              </w:rPr>
              <w:t>Domestic</w:t>
            </w:r>
          </w:p>
        </w:tc>
        <w:tc>
          <w:tcPr>
            <w:tcW w:w="1620" w:type="dxa"/>
            <w:tcBorders>
              <w:top w:val="single" w:sz="4" w:space="0" w:color="auto"/>
              <w:left w:val="single" w:sz="4" w:space="0" w:color="auto"/>
              <w:bottom w:val="single" w:sz="4" w:space="0" w:color="auto"/>
              <w:right w:val="nil"/>
            </w:tcBorders>
            <w:shd w:val="clear" w:color="auto" w:fill="auto"/>
            <w:noWrap/>
            <w:vAlign w:val="center"/>
            <w:hideMark/>
          </w:tcPr>
          <w:p w14:paraId="64E31313" w14:textId="426041B3" w:rsidR="006C1F29" w:rsidRPr="003D6D88" w:rsidRDefault="00F93CFA" w:rsidP="006C1F29">
            <w:pPr>
              <w:overflowPunct/>
              <w:autoSpaceDE/>
              <w:autoSpaceDN/>
              <w:adjustRightInd/>
              <w:jc w:val="right"/>
              <w:textAlignment w:val="auto"/>
              <w:rPr>
                <w:color w:val="000000"/>
                <w:sz w:val="24"/>
                <w:szCs w:val="22"/>
                <w:lang w:val="en-CA" w:eastAsia="en-CA"/>
              </w:rPr>
            </w:pPr>
            <w:r>
              <w:rPr>
                <w:color w:val="000000"/>
                <w:sz w:val="22"/>
                <w:szCs w:val="22"/>
              </w:rPr>
              <w:t>37</w:t>
            </w:r>
            <w:r w:rsidR="006C1F29" w:rsidRPr="003D6D88">
              <w:rPr>
                <w:color w:val="000000"/>
                <w:sz w:val="22"/>
                <w:szCs w:val="22"/>
              </w:rPr>
              <w:t>,</w:t>
            </w:r>
            <w:r>
              <w:rPr>
                <w:color w:val="000000"/>
                <w:sz w:val="22"/>
                <w:szCs w:val="22"/>
              </w:rPr>
              <w:t>449</w:t>
            </w:r>
            <w:r w:rsidR="006C1F29" w:rsidRPr="003D6D88">
              <w:rPr>
                <w:color w:val="000000"/>
                <w:sz w:val="22"/>
                <w:szCs w:val="22"/>
              </w:rPr>
              <w:t>,</w:t>
            </w:r>
            <w:r>
              <w:rPr>
                <w:color w:val="000000"/>
                <w:sz w:val="22"/>
                <w:szCs w:val="22"/>
              </w:rPr>
              <w:t>834</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FB251" w14:textId="7CEF2D7B" w:rsidR="006C1F29" w:rsidRPr="003D6D88" w:rsidRDefault="00F93CFA" w:rsidP="006C1F29">
            <w:pPr>
              <w:overflowPunct/>
              <w:autoSpaceDE/>
              <w:autoSpaceDN/>
              <w:adjustRightInd/>
              <w:jc w:val="right"/>
              <w:textAlignment w:val="auto"/>
              <w:rPr>
                <w:color w:val="000000"/>
                <w:sz w:val="24"/>
                <w:szCs w:val="22"/>
                <w:lang w:val="en-CA" w:eastAsia="en-CA"/>
              </w:rPr>
            </w:pPr>
            <w:r>
              <w:rPr>
                <w:color w:val="000000"/>
                <w:sz w:val="22"/>
                <w:szCs w:val="22"/>
              </w:rPr>
              <w:t>6</w:t>
            </w:r>
            <w:r w:rsidR="006C1F29" w:rsidRPr="003D6D88">
              <w:rPr>
                <w:color w:val="000000"/>
                <w:sz w:val="22"/>
                <w:szCs w:val="22"/>
              </w:rPr>
              <w:t>,</w:t>
            </w:r>
            <w:r>
              <w:rPr>
                <w:color w:val="000000"/>
                <w:sz w:val="22"/>
                <w:szCs w:val="22"/>
              </w:rPr>
              <w:t>081</w:t>
            </w:r>
            <w:r w:rsidR="006C1F29" w:rsidRPr="003D6D88">
              <w:rPr>
                <w:color w:val="000000"/>
                <w:sz w:val="22"/>
                <w:szCs w:val="22"/>
              </w:rPr>
              <w:t>,</w:t>
            </w:r>
            <w:r>
              <w:rPr>
                <w:color w:val="000000"/>
                <w:sz w:val="22"/>
                <w:szCs w:val="22"/>
              </w:rPr>
              <w:t>636</w:t>
            </w:r>
          </w:p>
        </w:tc>
      </w:tr>
      <w:tr w:rsidR="006C1F29" w:rsidRPr="00981466" w14:paraId="28EE8B38" w14:textId="77777777" w:rsidTr="009B4E07">
        <w:trPr>
          <w:trHeight w:val="300"/>
        </w:trPr>
        <w:tc>
          <w:tcPr>
            <w:tcW w:w="4230" w:type="dxa"/>
            <w:tcBorders>
              <w:top w:val="single" w:sz="4" w:space="0" w:color="auto"/>
              <w:left w:val="single" w:sz="4" w:space="0" w:color="auto"/>
              <w:bottom w:val="single" w:sz="4" w:space="0" w:color="auto"/>
              <w:right w:val="nil"/>
            </w:tcBorders>
            <w:shd w:val="clear" w:color="auto" w:fill="auto"/>
            <w:noWrap/>
            <w:vAlign w:val="center"/>
            <w:hideMark/>
          </w:tcPr>
          <w:p w14:paraId="105F3532" w14:textId="77777777" w:rsidR="006C1F29" w:rsidRPr="00981466" w:rsidRDefault="006C1F29" w:rsidP="006C1F29">
            <w:pPr>
              <w:overflowPunct/>
              <w:autoSpaceDE/>
              <w:autoSpaceDN/>
              <w:adjustRightInd/>
              <w:textAlignment w:val="auto"/>
              <w:rPr>
                <w:color w:val="000000"/>
                <w:sz w:val="24"/>
                <w:szCs w:val="22"/>
                <w:lang w:val="en-CA" w:eastAsia="en-CA"/>
              </w:rPr>
            </w:pPr>
            <w:r w:rsidRPr="00981466">
              <w:rPr>
                <w:color w:val="000000"/>
                <w:sz w:val="24"/>
                <w:szCs w:val="22"/>
                <w:lang w:eastAsia="en-CA"/>
              </w:rPr>
              <w:t>Total</w:t>
            </w:r>
          </w:p>
        </w:tc>
        <w:tc>
          <w:tcPr>
            <w:tcW w:w="1620" w:type="dxa"/>
            <w:tcBorders>
              <w:top w:val="single" w:sz="4" w:space="0" w:color="auto"/>
              <w:left w:val="single" w:sz="4" w:space="0" w:color="auto"/>
              <w:bottom w:val="single" w:sz="4" w:space="0" w:color="auto"/>
              <w:right w:val="nil"/>
            </w:tcBorders>
            <w:shd w:val="clear" w:color="auto" w:fill="auto"/>
            <w:noWrap/>
            <w:vAlign w:val="center"/>
            <w:hideMark/>
          </w:tcPr>
          <w:p w14:paraId="2F886ED2" w14:textId="031FEB98" w:rsidR="006C1F29" w:rsidRPr="003D6D88" w:rsidRDefault="00F93CFA" w:rsidP="006C1F29">
            <w:pPr>
              <w:overflowPunct/>
              <w:autoSpaceDE/>
              <w:autoSpaceDN/>
              <w:adjustRightInd/>
              <w:jc w:val="right"/>
              <w:textAlignment w:val="auto"/>
              <w:rPr>
                <w:color w:val="000000"/>
                <w:sz w:val="24"/>
                <w:szCs w:val="22"/>
                <w:lang w:val="en-CA" w:eastAsia="en-CA"/>
              </w:rPr>
            </w:pPr>
            <w:r>
              <w:rPr>
                <w:color w:val="000000"/>
                <w:sz w:val="22"/>
                <w:szCs w:val="22"/>
              </w:rPr>
              <w:t>38</w:t>
            </w:r>
            <w:r w:rsidR="006C1F29" w:rsidRPr="003D6D88">
              <w:rPr>
                <w:color w:val="000000"/>
                <w:sz w:val="22"/>
                <w:szCs w:val="22"/>
              </w:rPr>
              <w:t>,</w:t>
            </w:r>
            <w:r w:rsidRPr="003D6D88">
              <w:rPr>
                <w:color w:val="000000"/>
                <w:sz w:val="22"/>
                <w:szCs w:val="22"/>
              </w:rPr>
              <w:t>8</w:t>
            </w:r>
            <w:r>
              <w:rPr>
                <w:color w:val="000000"/>
                <w:sz w:val="22"/>
                <w:szCs w:val="22"/>
              </w:rPr>
              <w:t>9</w:t>
            </w:r>
            <w:r w:rsidRPr="003D6D88">
              <w:rPr>
                <w:color w:val="000000"/>
                <w:sz w:val="22"/>
                <w:szCs w:val="22"/>
              </w:rPr>
              <w:t>4</w:t>
            </w:r>
            <w:r w:rsidR="006C1F29" w:rsidRPr="003D6D88">
              <w:rPr>
                <w:color w:val="000000"/>
                <w:sz w:val="22"/>
                <w:szCs w:val="22"/>
              </w:rPr>
              <w:t>,</w:t>
            </w:r>
            <w:r>
              <w:rPr>
                <w:color w:val="000000"/>
                <w:sz w:val="22"/>
                <w:szCs w:val="22"/>
              </w:rPr>
              <w:t>525</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035D9" w14:textId="6F544190" w:rsidR="006C1F29" w:rsidRPr="003D6D88" w:rsidRDefault="00F93CFA" w:rsidP="006C1F29">
            <w:pPr>
              <w:overflowPunct/>
              <w:autoSpaceDE/>
              <w:autoSpaceDN/>
              <w:adjustRightInd/>
              <w:jc w:val="right"/>
              <w:textAlignment w:val="auto"/>
              <w:rPr>
                <w:color w:val="000000"/>
                <w:sz w:val="24"/>
                <w:szCs w:val="22"/>
                <w:lang w:val="en-CA" w:eastAsia="en-CA"/>
              </w:rPr>
            </w:pPr>
            <w:r>
              <w:rPr>
                <w:color w:val="000000"/>
                <w:sz w:val="22"/>
                <w:szCs w:val="22"/>
              </w:rPr>
              <w:t>9</w:t>
            </w:r>
            <w:r w:rsidR="006C1F29" w:rsidRPr="003D6D88">
              <w:rPr>
                <w:color w:val="000000"/>
                <w:sz w:val="22"/>
                <w:szCs w:val="22"/>
              </w:rPr>
              <w:t>,</w:t>
            </w:r>
            <w:r>
              <w:rPr>
                <w:color w:val="000000"/>
                <w:sz w:val="22"/>
                <w:szCs w:val="22"/>
              </w:rPr>
              <w:t>990</w:t>
            </w:r>
            <w:r w:rsidR="006C1F29" w:rsidRPr="003D6D88">
              <w:rPr>
                <w:color w:val="000000"/>
                <w:sz w:val="22"/>
                <w:szCs w:val="22"/>
              </w:rPr>
              <w:t>,</w:t>
            </w:r>
            <w:r>
              <w:rPr>
                <w:color w:val="000000"/>
                <w:sz w:val="22"/>
                <w:szCs w:val="22"/>
              </w:rPr>
              <w:t>0</w:t>
            </w:r>
            <w:r w:rsidRPr="003D6D88">
              <w:rPr>
                <w:color w:val="000000"/>
                <w:sz w:val="22"/>
                <w:szCs w:val="22"/>
              </w:rPr>
              <w:t>13</w:t>
            </w:r>
          </w:p>
        </w:tc>
      </w:tr>
    </w:tbl>
    <w:p w14:paraId="38D9C421" w14:textId="77777777" w:rsidR="00891A21" w:rsidRPr="00981466" w:rsidRDefault="00891A21" w:rsidP="00981466">
      <w:pPr>
        <w:tabs>
          <w:tab w:val="left" w:pos="1440"/>
        </w:tabs>
        <w:rPr>
          <w:sz w:val="24"/>
          <w:szCs w:val="22"/>
        </w:rPr>
      </w:pPr>
    </w:p>
    <w:p w14:paraId="1545F5B7" w14:textId="77777777" w:rsidR="0078059E" w:rsidRPr="00981466" w:rsidRDefault="00EC07BA" w:rsidP="00981466">
      <w:pPr>
        <w:tabs>
          <w:tab w:val="left" w:pos="1440"/>
        </w:tabs>
        <w:ind w:left="1440" w:right="-90" w:hanging="720"/>
        <w:rPr>
          <w:sz w:val="24"/>
          <w:szCs w:val="22"/>
        </w:rPr>
      </w:pPr>
      <w:r w:rsidRPr="00981466">
        <w:rPr>
          <w:sz w:val="24"/>
          <w:szCs w:val="22"/>
        </w:rPr>
        <w:t>(c)</w:t>
      </w:r>
      <w:r w:rsidRPr="00981466">
        <w:rPr>
          <w:sz w:val="24"/>
          <w:szCs w:val="22"/>
        </w:rPr>
        <w:tab/>
        <w:t>Industry Type Distribution of Exposures</w:t>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t xml:space="preserve">    </w:t>
      </w:r>
      <w:r w:rsidR="00F33760" w:rsidRPr="00981466">
        <w:rPr>
          <w:sz w:val="24"/>
          <w:szCs w:val="22"/>
        </w:rPr>
        <w:t xml:space="preserve">  </w:t>
      </w:r>
      <w:r w:rsidR="002765F8" w:rsidRPr="00981466">
        <w:rPr>
          <w:sz w:val="24"/>
          <w:szCs w:val="22"/>
        </w:rPr>
        <w:t xml:space="preserve"> </w:t>
      </w:r>
      <w:r w:rsidR="00CA0442" w:rsidRPr="00981466">
        <w:rPr>
          <w:sz w:val="24"/>
          <w:szCs w:val="22"/>
        </w:rPr>
        <w:t>(</w:t>
      </w:r>
      <w:r w:rsidR="002B2C1E" w:rsidRPr="00981466">
        <w:rPr>
          <w:sz w:val="24"/>
          <w:szCs w:val="22"/>
        </w:rPr>
        <w:t xml:space="preserve">In </w:t>
      </w:r>
      <w:r w:rsidR="00CA0442" w:rsidRPr="00981466">
        <w:rPr>
          <w:sz w:val="24"/>
          <w:szCs w:val="22"/>
        </w:rPr>
        <w:t>Rs.000</w:t>
      </w:r>
      <w:r w:rsidR="00DF1CD2" w:rsidRPr="00981466">
        <w:rPr>
          <w:sz w:val="24"/>
          <w:szCs w:val="22"/>
        </w:rPr>
        <w:t>’</w:t>
      </w:r>
      <w:r w:rsidR="00CA0442" w:rsidRPr="00981466">
        <w:rPr>
          <w:sz w:val="24"/>
          <w:szCs w:val="22"/>
        </w:rPr>
        <w:t>s)</w:t>
      </w:r>
    </w:p>
    <w:tbl>
      <w:tblPr>
        <w:tblW w:w="8280" w:type="dxa"/>
        <w:tblInd w:w="1548" w:type="dxa"/>
        <w:tblLayout w:type="fixed"/>
        <w:tblLook w:val="04A0" w:firstRow="1" w:lastRow="0" w:firstColumn="1" w:lastColumn="0" w:noHBand="0" w:noVBand="1"/>
      </w:tblPr>
      <w:tblGrid>
        <w:gridCol w:w="3420"/>
        <w:gridCol w:w="1260"/>
        <w:gridCol w:w="990"/>
        <w:gridCol w:w="1350"/>
        <w:gridCol w:w="1260"/>
      </w:tblGrid>
      <w:tr w:rsidR="009B699D" w:rsidRPr="00197D6D" w14:paraId="6E16E3F6" w14:textId="77777777" w:rsidTr="00F043AE">
        <w:trPr>
          <w:trHeight w:val="300"/>
        </w:trPr>
        <w:tc>
          <w:tcPr>
            <w:tcW w:w="3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02B26" w14:textId="77777777" w:rsidR="009B699D" w:rsidRPr="00197D6D" w:rsidRDefault="009B699D" w:rsidP="009B699D">
            <w:pPr>
              <w:overflowPunct/>
              <w:autoSpaceDE/>
              <w:autoSpaceDN/>
              <w:adjustRightInd/>
              <w:jc w:val="center"/>
              <w:textAlignment w:val="auto"/>
              <w:rPr>
                <w:b/>
                <w:bCs/>
                <w:color w:val="000000"/>
                <w:sz w:val="22"/>
                <w:szCs w:val="22"/>
                <w:lang w:val="en-CA" w:eastAsia="en-CA"/>
              </w:rPr>
            </w:pPr>
            <w:r w:rsidRPr="00197D6D">
              <w:rPr>
                <w:b/>
                <w:bCs/>
                <w:color w:val="000000"/>
                <w:sz w:val="22"/>
                <w:szCs w:val="22"/>
                <w:lang w:val="en-CA" w:eastAsia="en-CA"/>
              </w:rPr>
              <w:t>Type of Industry</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3B41717" w14:textId="77777777" w:rsidR="009B699D" w:rsidRPr="00197D6D" w:rsidRDefault="009B699D" w:rsidP="009B699D">
            <w:pPr>
              <w:overflowPunct/>
              <w:autoSpaceDE/>
              <w:autoSpaceDN/>
              <w:adjustRightInd/>
              <w:jc w:val="center"/>
              <w:textAlignment w:val="auto"/>
              <w:rPr>
                <w:b/>
                <w:bCs/>
                <w:color w:val="000000"/>
                <w:sz w:val="22"/>
                <w:szCs w:val="22"/>
                <w:lang w:val="en-CA" w:eastAsia="en-CA"/>
              </w:rPr>
            </w:pPr>
            <w:r w:rsidRPr="00197D6D">
              <w:rPr>
                <w:b/>
                <w:bCs/>
                <w:color w:val="000000"/>
                <w:sz w:val="22"/>
                <w:szCs w:val="22"/>
                <w:lang w:val="en-CA" w:eastAsia="en-CA"/>
              </w:rPr>
              <w:t xml:space="preserve"> Funded based Exposure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E68F5D" w14:textId="77777777" w:rsidR="009B699D" w:rsidRPr="00197D6D" w:rsidRDefault="009B699D" w:rsidP="009B699D">
            <w:pPr>
              <w:overflowPunct/>
              <w:autoSpaceDE/>
              <w:autoSpaceDN/>
              <w:adjustRightInd/>
              <w:jc w:val="center"/>
              <w:textAlignment w:val="auto"/>
              <w:rPr>
                <w:b/>
                <w:bCs/>
                <w:color w:val="000000"/>
                <w:sz w:val="22"/>
                <w:szCs w:val="22"/>
                <w:lang w:val="en-CA" w:eastAsia="en-CA"/>
              </w:rPr>
            </w:pPr>
            <w:r w:rsidRPr="00197D6D">
              <w:rPr>
                <w:b/>
                <w:bCs/>
                <w:color w:val="000000"/>
                <w:sz w:val="22"/>
                <w:szCs w:val="22"/>
                <w:lang w:val="en-CA" w:eastAsia="en-CA"/>
              </w:rPr>
              <w:t xml:space="preserve"> Non Fund Based Exposure </w:t>
            </w:r>
          </w:p>
        </w:tc>
      </w:tr>
      <w:tr w:rsidR="009B699D" w:rsidRPr="00197D6D" w14:paraId="57EE6C46" w14:textId="77777777" w:rsidTr="00F043AE">
        <w:trPr>
          <w:trHeight w:val="30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7F3433E6" w14:textId="77777777" w:rsidR="009B699D" w:rsidRPr="00197D6D" w:rsidRDefault="009B699D" w:rsidP="009B699D">
            <w:pPr>
              <w:overflowPunct/>
              <w:autoSpaceDE/>
              <w:autoSpaceDN/>
              <w:adjustRightInd/>
              <w:textAlignment w:val="auto"/>
              <w:rPr>
                <w:b/>
                <w:bCs/>
                <w:color w:val="000000"/>
                <w:sz w:val="22"/>
                <w:szCs w:val="22"/>
                <w:lang w:val="en-CA" w:eastAsia="en-CA"/>
              </w:rPr>
            </w:pPr>
          </w:p>
        </w:tc>
        <w:tc>
          <w:tcPr>
            <w:tcW w:w="1260" w:type="dxa"/>
            <w:tcBorders>
              <w:top w:val="nil"/>
              <w:left w:val="nil"/>
              <w:bottom w:val="single" w:sz="4" w:space="0" w:color="auto"/>
              <w:right w:val="single" w:sz="4" w:space="0" w:color="auto"/>
            </w:tcBorders>
            <w:shd w:val="clear" w:color="auto" w:fill="auto"/>
            <w:noWrap/>
            <w:vAlign w:val="center"/>
            <w:hideMark/>
          </w:tcPr>
          <w:p w14:paraId="10B7EF2D" w14:textId="77777777" w:rsidR="009B699D" w:rsidRPr="00197D6D" w:rsidRDefault="009B699D" w:rsidP="00981466">
            <w:pPr>
              <w:overflowPunct/>
              <w:autoSpaceDE/>
              <w:autoSpaceDN/>
              <w:adjustRightInd/>
              <w:jc w:val="center"/>
              <w:textAlignment w:val="auto"/>
              <w:rPr>
                <w:b/>
                <w:bCs/>
                <w:color w:val="000000"/>
                <w:sz w:val="22"/>
                <w:szCs w:val="22"/>
                <w:lang w:val="en-CA" w:eastAsia="en-CA"/>
              </w:rPr>
            </w:pPr>
            <w:r w:rsidRPr="00197D6D">
              <w:rPr>
                <w:b/>
                <w:bCs/>
                <w:color w:val="000000"/>
                <w:sz w:val="22"/>
                <w:szCs w:val="22"/>
                <w:lang w:val="en-CA" w:eastAsia="en-CA"/>
              </w:rPr>
              <w:t>Standard</w:t>
            </w:r>
          </w:p>
        </w:tc>
        <w:tc>
          <w:tcPr>
            <w:tcW w:w="990" w:type="dxa"/>
            <w:tcBorders>
              <w:top w:val="nil"/>
              <w:left w:val="nil"/>
              <w:bottom w:val="single" w:sz="4" w:space="0" w:color="auto"/>
              <w:right w:val="single" w:sz="4" w:space="0" w:color="auto"/>
            </w:tcBorders>
            <w:shd w:val="clear" w:color="auto" w:fill="auto"/>
            <w:noWrap/>
            <w:vAlign w:val="center"/>
            <w:hideMark/>
          </w:tcPr>
          <w:p w14:paraId="7B5F451F" w14:textId="77777777" w:rsidR="009B699D" w:rsidRPr="00197D6D" w:rsidRDefault="009B699D" w:rsidP="00981466">
            <w:pPr>
              <w:overflowPunct/>
              <w:autoSpaceDE/>
              <w:autoSpaceDN/>
              <w:adjustRightInd/>
              <w:jc w:val="center"/>
              <w:textAlignment w:val="auto"/>
              <w:rPr>
                <w:b/>
                <w:bCs/>
                <w:color w:val="000000"/>
                <w:sz w:val="22"/>
                <w:szCs w:val="22"/>
                <w:lang w:val="en-CA" w:eastAsia="en-CA"/>
              </w:rPr>
            </w:pPr>
            <w:r w:rsidRPr="00197D6D">
              <w:rPr>
                <w:b/>
                <w:bCs/>
                <w:color w:val="000000"/>
                <w:sz w:val="22"/>
                <w:szCs w:val="22"/>
                <w:lang w:val="en-CA" w:eastAsia="en-CA"/>
              </w:rPr>
              <w:t>NPA/</w:t>
            </w:r>
            <w:r w:rsidR="00981466">
              <w:rPr>
                <w:b/>
                <w:bCs/>
                <w:color w:val="000000"/>
                <w:sz w:val="22"/>
                <w:szCs w:val="22"/>
                <w:lang w:val="en-CA" w:eastAsia="en-CA"/>
              </w:rPr>
              <w:t xml:space="preserve"> </w:t>
            </w:r>
            <w:r w:rsidRPr="00197D6D">
              <w:rPr>
                <w:b/>
                <w:bCs/>
                <w:color w:val="000000"/>
                <w:sz w:val="22"/>
                <w:szCs w:val="22"/>
                <w:lang w:val="en-CA" w:eastAsia="en-CA"/>
              </w:rPr>
              <w:t>NPI</w:t>
            </w:r>
          </w:p>
        </w:tc>
        <w:tc>
          <w:tcPr>
            <w:tcW w:w="1350" w:type="dxa"/>
            <w:tcBorders>
              <w:top w:val="nil"/>
              <w:left w:val="nil"/>
              <w:bottom w:val="single" w:sz="4" w:space="0" w:color="auto"/>
              <w:right w:val="single" w:sz="4" w:space="0" w:color="auto"/>
            </w:tcBorders>
            <w:shd w:val="clear" w:color="auto" w:fill="auto"/>
            <w:noWrap/>
            <w:vAlign w:val="center"/>
            <w:hideMark/>
          </w:tcPr>
          <w:p w14:paraId="10EBA3CF" w14:textId="77777777" w:rsidR="009B699D" w:rsidRPr="00197D6D" w:rsidRDefault="009B699D" w:rsidP="00981466">
            <w:pPr>
              <w:overflowPunct/>
              <w:autoSpaceDE/>
              <w:autoSpaceDN/>
              <w:adjustRightInd/>
              <w:jc w:val="center"/>
              <w:textAlignment w:val="auto"/>
              <w:rPr>
                <w:b/>
                <w:bCs/>
                <w:color w:val="000000"/>
                <w:sz w:val="22"/>
                <w:szCs w:val="22"/>
                <w:lang w:val="en-CA" w:eastAsia="en-CA"/>
              </w:rPr>
            </w:pPr>
            <w:r w:rsidRPr="00197D6D">
              <w:rPr>
                <w:b/>
                <w:bCs/>
                <w:color w:val="000000"/>
                <w:sz w:val="22"/>
                <w:szCs w:val="22"/>
                <w:lang w:val="en-CA" w:eastAsia="en-CA"/>
              </w:rPr>
              <w:t>Total</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AF80541" w14:textId="77777777" w:rsidR="009B699D" w:rsidRPr="00197D6D" w:rsidRDefault="009B699D" w:rsidP="009B699D">
            <w:pPr>
              <w:overflowPunct/>
              <w:autoSpaceDE/>
              <w:autoSpaceDN/>
              <w:adjustRightInd/>
              <w:textAlignment w:val="auto"/>
              <w:rPr>
                <w:b/>
                <w:bCs/>
                <w:color w:val="000000"/>
                <w:sz w:val="22"/>
                <w:szCs w:val="22"/>
                <w:lang w:val="en-CA" w:eastAsia="en-CA"/>
              </w:rPr>
            </w:pPr>
          </w:p>
        </w:tc>
      </w:tr>
      <w:tr w:rsidR="006C1F29" w:rsidRPr="00197D6D" w14:paraId="319615BF"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608F177C" w14:textId="74F0562B" w:rsidR="006C1F29" w:rsidRPr="006C1F29" w:rsidRDefault="006C1F29" w:rsidP="006C1F29">
            <w:pPr>
              <w:overflowPunct/>
              <w:autoSpaceDE/>
              <w:autoSpaceDN/>
              <w:adjustRightInd/>
              <w:textAlignment w:val="auto"/>
              <w:rPr>
                <w:color w:val="000000"/>
                <w:sz w:val="22"/>
                <w:szCs w:val="22"/>
                <w:lang w:val="en-CA" w:eastAsia="en-CA"/>
              </w:rPr>
            </w:pPr>
            <w:r w:rsidRPr="006C1F29">
              <w:rPr>
                <w:color w:val="000000"/>
                <w:sz w:val="22"/>
                <w:szCs w:val="22"/>
              </w:rPr>
              <w:t>Agriculture and Allied Activities</w:t>
            </w:r>
          </w:p>
        </w:tc>
        <w:tc>
          <w:tcPr>
            <w:tcW w:w="1260" w:type="dxa"/>
            <w:tcBorders>
              <w:top w:val="nil"/>
              <w:left w:val="nil"/>
              <w:bottom w:val="single" w:sz="4" w:space="0" w:color="auto"/>
              <w:right w:val="single" w:sz="4" w:space="0" w:color="auto"/>
            </w:tcBorders>
            <w:shd w:val="clear" w:color="auto" w:fill="auto"/>
            <w:noWrap/>
            <w:vAlign w:val="bottom"/>
          </w:tcPr>
          <w:p w14:paraId="6C84DD24" w14:textId="0E641F29" w:rsidR="006C1F29" w:rsidRPr="006C1F29" w:rsidRDefault="00F93CFA"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bottom"/>
          </w:tcPr>
          <w:p w14:paraId="402499E6" w14:textId="6F6D5F3C"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5730F514" w14:textId="320C2676" w:rsidR="006C1F29" w:rsidRPr="006C1F29" w:rsidRDefault="00F93CFA"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tcPr>
          <w:p w14:paraId="0C36E905" w14:textId="172C4A0C" w:rsidR="006C1F29" w:rsidRPr="006C1F29" w:rsidRDefault="00F93CFA"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r>
      <w:tr w:rsidR="006C1F29" w:rsidRPr="00197D6D" w14:paraId="30658332"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70BC9537" w14:textId="62C31557" w:rsidR="006C1F29" w:rsidRPr="006C1F29" w:rsidRDefault="006C1F29" w:rsidP="006C1F29">
            <w:pPr>
              <w:overflowPunct/>
              <w:autoSpaceDE/>
              <w:autoSpaceDN/>
              <w:adjustRightInd/>
              <w:textAlignment w:val="auto"/>
              <w:rPr>
                <w:color w:val="000000"/>
                <w:sz w:val="22"/>
                <w:szCs w:val="22"/>
                <w:lang w:val="en-CA" w:eastAsia="en-CA"/>
              </w:rPr>
            </w:pPr>
            <w:r w:rsidRPr="006C1F29">
              <w:rPr>
                <w:color w:val="000000"/>
                <w:sz w:val="22"/>
                <w:szCs w:val="22"/>
              </w:rPr>
              <w:t>Bank</w:t>
            </w:r>
          </w:p>
        </w:tc>
        <w:tc>
          <w:tcPr>
            <w:tcW w:w="1260" w:type="dxa"/>
            <w:tcBorders>
              <w:top w:val="nil"/>
              <w:left w:val="nil"/>
              <w:bottom w:val="single" w:sz="4" w:space="0" w:color="auto"/>
              <w:right w:val="single" w:sz="4" w:space="0" w:color="auto"/>
            </w:tcBorders>
            <w:shd w:val="clear" w:color="auto" w:fill="auto"/>
            <w:noWrap/>
            <w:vAlign w:val="bottom"/>
          </w:tcPr>
          <w:p w14:paraId="0DB54C61" w14:textId="31375A77"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1,</w:t>
            </w:r>
            <w:r w:rsidR="00F93CFA">
              <w:rPr>
                <w:color w:val="000000"/>
                <w:sz w:val="22"/>
                <w:szCs w:val="22"/>
              </w:rPr>
              <w:t>773</w:t>
            </w:r>
            <w:r w:rsidRPr="006C1F29">
              <w:rPr>
                <w:color w:val="000000"/>
                <w:sz w:val="22"/>
                <w:szCs w:val="22"/>
              </w:rPr>
              <w:t>,</w:t>
            </w:r>
            <w:r w:rsidR="00F93CFA" w:rsidRPr="006C1F29">
              <w:rPr>
                <w:color w:val="000000"/>
                <w:sz w:val="22"/>
                <w:szCs w:val="22"/>
              </w:rPr>
              <w:t>8</w:t>
            </w:r>
            <w:r w:rsidR="00F93CFA">
              <w:rPr>
                <w:color w:val="000000"/>
                <w:sz w:val="22"/>
                <w:szCs w:val="22"/>
              </w:rPr>
              <w:t>68</w:t>
            </w:r>
          </w:p>
        </w:tc>
        <w:tc>
          <w:tcPr>
            <w:tcW w:w="990" w:type="dxa"/>
            <w:tcBorders>
              <w:top w:val="nil"/>
              <w:left w:val="nil"/>
              <w:bottom w:val="single" w:sz="4" w:space="0" w:color="auto"/>
              <w:right w:val="single" w:sz="4" w:space="0" w:color="auto"/>
            </w:tcBorders>
            <w:shd w:val="clear" w:color="auto" w:fill="auto"/>
            <w:noWrap/>
            <w:vAlign w:val="bottom"/>
          </w:tcPr>
          <w:p w14:paraId="7F3FE034" w14:textId="50B10CC7"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50892938" w14:textId="2B5BBE1C"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1,</w:t>
            </w:r>
            <w:r w:rsidR="00F93CFA">
              <w:rPr>
                <w:color w:val="000000"/>
                <w:sz w:val="22"/>
                <w:szCs w:val="22"/>
              </w:rPr>
              <w:t>773</w:t>
            </w:r>
            <w:r w:rsidRPr="006C1F29">
              <w:rPr>
                <w:color w:val="000000"/>
                <w:sz w:val="22"/>
                <w:szCs w:val="22"/>
              </w:rPr>
              <w:t>,</w:t>
            </w:r>
            <w:r w:rsidR="00F93CFA" w:rsidRPr="006C1F29">
              <w:rPr>
                <w:color w:val="000000"/>
                <w:sz w:val="22"/>
                <w:szCs w:val="22"/>
              </w:rPr>
              <w:t>8</w:t>
            </w:r>
            <w:r w:rsidR="00F93CFA">
              <w:rPr>
                <w:color w:val="000000"/>
                <w:sz w:val="22"/>
                <w:szCs w:val="22"/>
              </w:rPr>
              <w:t>68</w:t>
            </w:r>
          </w:p>
        </w:tc>
        <w:tc>
          <w:tcPr>
            <w:tcW w:w="1260" w:type="dxa"/>
            <w:tcBorders>
              <w:top w:val="nil"/>
              <w:left w:val="nil"/>
              <w:bottom w:val="single" w:sz="4" w:space="0" w:color="auto"/>
              <w:right w:val="single" w:sz="4" w:space="0" w:color="auto"/>
            </w:tcBorders>
            <w:shd w:val="clear" w:color="auto" w:fill="auto"/>
            <w:noWrap/>
            <w:vAlign w:val="bottom"/>
          </w:tcPr>
          <w:p w14:paraId="38FF2CC6" w14:textId="397BFD40"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3</w:t>
            </w:r>
            <w:r w:rsidR="006C1F29" w:rsidRPr="006C1F29">
              <w:rPr>
                <w:color w:val="000000"/>
                <w:sz w:val="22"/>
                <w:szCs w:val="22"/>
              </w:rPr>
              <w:t>,</w:t>
            </w:r>
            <w:r>
              <w:rPr>
                <w:color w:val="000000"/>
                <w:sz w:val="22"/>
                <w:szCs w:val="22"/>
              </w:rPr>
              <w:t>971</w:t>
            </w:r>
            <w:r w:rsidR="006C1F29" w:rsidRPr="006C1F29">
              <w:rPr>
                <w:color w:val="000000"/>
                <w:sz w:val="22"/>
                <w:szCs w:val="22"/>
              </w:rPr>
              <w:t>,</w:t>
            </w:r>
            <w:r>
              <w:rPr>
                <w:color w:val="000000"/>
                <w:sz w:val="22"/>
                <w:szCs w:val="22"/>
              </w:rPr>
              <w:t>765</w:t>
            </w:r>
          </w:p>
        </w:tc>
      </w:tr>
      <w:tr w:rsidR="006C1F29" w:rsidRPr="00197D6D" w14:paraId="6910076B"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4166D1C8" w14:textId="1BE7AA5C" w:rsidR="006C1F29" w:rsidRPr="006C1F29" w:rsidRDefault="006C1F29" w:rsidP="006C1F29">
            <w:pPr>
              <w:overflowPunct/>
              <w:autoSpaceDE/>
              <w:autoSpaceDN/>
              <w:adjustRightInd/>
              <w:textAlignment w:val="auto"/>
              <w:rPr>
                <w:color w:val="000000"/>
                <w:sz w:val="22"/>
                <w:szCs w:val="22"/>
                <w:lang w:val="en-CA" w:eastAsia="en-CA"/>
              </w:rPr>
            </w:pPr>
            <w:r w:rsidRPr="006C1F29">
              <w:rPr>
                <w:color w:val="000000"/>
                <w:sz w:val="22"/>
                <w:szCs w:val="22"/>
              </w:rPr>
              <w:t>Chemicals and Chemical Products (Dyes, Paints, etc.)</w:t>
            </w:r>
          </w:p>
        </w:tc>
        <w:tc>
          <w:tcPr>
            <w:tcW w:w="1260" w:type="dxa"/>
            <w:tcBorders>
              <w:top w:val="nil"/>
              <w:left w:val="nil"/>
              <w:bottom w:val="single" w:sz="4" w:space="0" w:color="auto"/>
              <w:right w:val="single" w:sz="4" w:space="0" w:color="auto"/>
            </w:tcBorders>
            <w:shd w:val="clear" w:color="auto" w:fill="auto"/>
            <w:noWrap/>
            <w:vAlign w:val="bottom"/>
          </w:tcPr>
          <w:p w14:paraId="208ABD79" w14:textId="5FF951ED"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1</w:t>
            </w:r>
            <w:r w:rsidR="006C1F29" w:rsidRPr="006C1F29">
              <w:rPr>
                <w:color w:val="000000"/>
                <w:sz w:val="22"/>
                <w:szCs w:val="22"/>
              </w:rPr>
              <w:t>,</w:t>
            </w:r>
            <w:r>
              <w:rPr>
                <w:color w:val="000000"/>
                <w:sz w:val="22"/>
                <w:szCs w:val="22"/>
              </w:rPr>
              <w:t>010</w:t>
            </w:r>
            <w:r w:rsidR="006C1F29" w:rsidRPr="006C1F29">
              <w:rPr>
                <w:color w:val="000000"/>
                <w:sz w:val="22"/>
                <w:szCs w:val="22"/>
              </w:rPr>
              <w:t>,</w:t>
            </w:r>
            <w:r>
              <w:rPr>
                <w:color w:val="000000"/>
                <w:sz w:val="22"/>
                <w:szCs w:val="22"/>
              </w:rPr>
              <w:t>000</w:t>
            </w:r>
          </w:p>
        </w:tc>
        <w:tc>
          <w:tcPr>
            <w:tcW w:w="990" w:type="dxa"/>
            <w:tcBorders>
              <w:top w:val="nil"/>
              <w:left w:val="nil"/>
              <w:bottom w:val="single" w:sz="4" w:space="0" w:color="auto"/>
              <w:right w:val="single" w:sz="4" w:space="0" w:color="auto"/>
            </w:tcBorders>
            <w:shd w:val="clear" w:color="auto" w:fill="auto"/>
            <w:noWrap/>
            <w:vAlign w:val="bottom"/>
          </w:tcPr>
          <w:p w14:paraId="0593A04E" w14:textId="742A14CF"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0B797F8B" w14:textId="7AC8DC18"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1</w:t>
            </w:r>
            <w:r w:rsidRPr="006C1F29">
              <w:rPr>
                <w:color w:val="000000"/>
                <w:sz w:val="22"/>
                <w:szCs w:val="22"/>
              </w:rPr>
              <w:t>,</w:t>
            </w:r>
            <w:r>
              <w:rPr>
                <w:color w:val="000000"/>
                <w:sz w:val="22"/>
                <w:szCs w:val="22"/>
              </w:rPr>
              <w:t>010</w:t>
            </w:r>
            <w:r w:rsidRPr="006C1F29">
              <w:rPr>
                <w:color w:val="000000"/>
                <w:sz w:val="22"/>
                <w:szCs w:val="22"/>
              </w:rPr>
              <w:t>,</w:t>
            </w:r>
            <w:r>
              <w:rPr>
                <w:color w:val="000000"/>
                <w:sz w:val="22"/>
                <w:szCs w:val="22"/>
              </w:rPr>
              <w:t>000</w:t>
            </w:r>
          </w:p>
        </w:tc>
        <w:tc>
          <w:tcPr>
            <w:tcW w:w="1260" w:type="dxa"/>
            <w:tcBorders>
              <w:top w:val="nil"/>
              <w:left w:val="nil"/>
              <w:bottom w:val="single" w:sz="4" w:space="0" w:color="auto"/>
              <w:right w:val="single" w:sz="4" w:space="0" w:color="auto"/>
            </w:tcBorders>
            <w:shd w:val="clear" w:color="auto" w:fill="auto"/>
            <w:noWrap/>
            <w:vAlign w:val="bottom"/>
          </w:tcPr>
          <w:p w14:paraId="4F1EBB9B" w14:textId="395BCC59"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111</w:t>
            </w:r>
            <w:r w:rsidR="006C1F29" w:rsidRPr="006C1F29">
              <w:rPr>
                <w:color w:val="000000"/>
                <w:sz w:val="22"/>
                <w:szCs w:val="22"/>
              </w:rPr>
              <w:t>,</w:t>
            </w:r>
            <w:r>
              <w:rPr>
                <w:color w:val="000000"/>
                <w:sz w:val="22"/>
                <w:szCs w:val="22"/>
              </w:rPr>
              <w:t>152</w:t>
            </w:r>
          </w:p>
        </w:tc>
      </w:tr>
      <w:tr w:rsidR="006C1F29" w:rsidRPr="00197D6D" w14:paraId="434F16C3"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26F9731B" w14:textId="69B03239" w:rsidR="006C1F29" w:rsidRPr="006C1F29" w:rsidRDefault="006C1F29" w:rsidP="006C1F29">
            <w:pPr>
              <w:overflowPunct/>
              <w:autoSpaceDE/>
              <w:autoSpaceDN/>
              <w:adjustRightInd/>
              <w:textAlignment w:val="auto"/>
              <w:rPr>
                <w:color w:val="000000"/>
                <w:sz w:val="22"/>
                <w:szCs w:val="22"/>
                <w:lang w:val="en-CA" w:eastAsia="en-CA"/>
              </w:rPr>
            </w:pPr>
            <w:r w:rsidRPr="006C1F29">
              <w:rPr>
                <w:color w:val="000000"/>
                <w:sz w:val="22"/>
                <w:szCs w:val="22"/>
              </w:rPr>
              <w:t>Computer Software</w:t>
            </w:r>
          </w:p>
        </w:tc>
        <w:tc>
          <w:tcPr>
            <w:tcW w:w="1260" w:type="dxa"/>
            <w:tcBorders>
              <w:top w:val="nil"/>
              <w:left w:val="nil"/>
              <w:bottom w:val="single" w:sz="4" w:space="0" w:color="auto"/>
              <w:right w:val="single" w:sz="4" w:space="0" w:color="auto"/>
            </w:tcBorders>
            <w:shd w:val="clear" w:color="auto" w:fill="auto"/>
            <w:noWrap/>
            <w:vAlign w:val="bottom"/>
          </w:tcPr>
          <w:p w14:paraId="4AC1A77A" w14:textId="680A29B1"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150,000</w:t>
            </w:r>
          </w:p>
        </w:tc>
        <w:tc>
          <w:tcPr>
            <w:tcW w:w="990" w:type="dxa"/>
            <w:tcBorders>
              <w:top w:val="nil"/>
              <w:left w:val="nil"/>
              <w:bottom w:val="single" w:sz="4" w:space="0" w:color="auto"/>
              <w:right w:val="single" w:sz="4" w:space="0" w:color="auto"/>
            </w:tcBorders>
            <w:shd w:val="clear" w:color="auto" w:fill="auto"/>
            <w:noWrap/>
            <w:vAlign w:val="bottom"/>
          </w:tcPr>
          <w:p w14:paraId="0242D6E7" w14:textId="03D875C2"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593B1EC1" w14:textId="2B961306"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150,000</w:t>
            </w:r>
          </w:p>
        </w:tc>
        <w:tc>
          <w:tcPr>
            <w:tcW w:w="1260" w:type="dxa"/>
            <w:tcBorders>
              <w:top w:val="nil"/>
              <w:left w:val="nil"/>
              <w:bottom w:val="single" w:sz="4" w:space="0" w:color="auto"/>
              <w:right w:val="single" w:sz="4" w:space="0" w:color="auto"/>
            </w:tcBorders>
            <w:shd w:val="clear" w:color="auto" w:fill="auto"/>
            <w:noWrap/>
            <w:vAlign w:val="bottom"/>
          </w:tcPr>
          <w:p w14:paraId="4C17ACDA" w14:textId="5A0F9E06"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2,226</w:t>
            </w:r>
            <w:r w:rsidR="006C1F29" w:rsidRPr="006C1F29">
              <w:rPr>
                <w:color w:val="000000"/>
                <w:sz w:val="22"/>
                <w:szCs w:val="22"/>
              </w:rPr>
              <w:t>,</w:t>
            </w:r>
            <w:r>
              <w:rPr>
                <w:color w:val="000000"/>
                <w:sz w:val="22"/>
                <w:szCs w:val="22"/>
              </w:rPr>
              <w:t>155</w:t>
            </w:r>
          </w:p>
        </w:tc>
      </w:tr>
      <w:tr w:rsidR="006C1F29" w:rsidRPr="00197D6D" w14:paraId="12901EEC"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4C292270" w14:textId="59E628E6" w:rsidR="006C1F29" w:rsidRPr="006C1F29" w:rsidRDefault="006C1F29" w:rsidP="006C1F29">
            <w:pPr>
              <w:overflowPunct/>
              <w:autoSpaceDE/>
              <w:autoSpaceDN/>
              <w:adjustRightInd/>
              <w:textAlignment w:val="auto"/>
              <w:rPr>
                <w:color w:val="000000"/>
                <w:sz w:val="22"/>
                <w:szCs w:val="22"/>
                <w:lang w:val="en-CA" w:eastAsia="en-CA"/>
              </w:rPr>
            </w:pPr>
            <w:r w:rsidRPr="006C1F29">
              <w:rPr>
                <w:color w:val="000000"/>
                <w:sz w:val="22"/>
                <w:szCs w:val="22"/>
              </w:rPr>
              <w:t>Construction</w:t>
            </w:r>
          </w:p>
        </w:tc>
        <w:tc>
          <w:tcPr>
            <w:tcW w:w="1260" w:type="dxa"/>
            <w:tcBorders>
              <w:top w:val="nil"/>
              <w:left w:val="nil"/>
              <w:bottom w:val="single" w:sz="4" w:space="0" w:color="auto"/>
              <w:right w:val="single" w:sz="4" w:space="0" w:color="auto"/>
            </w:tcBorders>
            <w:shd w:val="clear" w:color="auto" w:fill="auto"/>
            <w:noWrap/>
            <w:vAlign w:val="bottom"/>
          </w:tcPr>
          <w:p w14:paraId="611AF63B" w14:textId="7037FFCF"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2,500,000</w:t>
            </w:r>
          </w:p>
        </w:tc>
        <w:tc>
          <w:tcPr>
            <w:tcW w:w="990" w:type="dxa"/>
            <w:tcBorders>
              <w:top w:val="nil"/>
              <w:left w:val="nil"/>
              <w:bottom w:val="single" w:sz="4" w:space="0" w:color="auto"/>
              <w:right w:val="single" w:sz="4" w:space="0" w:color="auto"/>
            </w:tcBorders>
            <w:shd w:val="clear" w:color="auto" w:fill="auto"/>
            <w:noWrap/>
            <w:vAlign w:val="bottom"/>
          </w:tcPr>
          <w:p w14:paraId="62652394" w14:textId="346A74D2"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176,839</w:t>
            </w:r>
          </w:p>
        </w:tc>
        <w:tc>
          <w:tcPr>
            <w:tcW w:w="1350" w:type="dxa"/>
            <w:tcBorders>
              <w:top w:val="nil"/>
              <w:left w:val="nil"/>
              <w:bottom w:val="single" w:sz="4" w:space="0" w:color="auto"/>
              <w:right w:val="single" w:sz="4" w:space="0" w:color="auto"/>
            </w:tcBorders>
            <w:shd w:val="clear" w:color="auto" w:fill="auto"/>
            <w:noWrap/>
            <w:vAlign w:val="bottom"/>
          </w:tcPr>
          <w:p w14:paraId="5D12BF0E" w14:textId="58437E50"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2,676,839</w:t>
            </w:r>
          </w:p>
        </w:tc>
        <w:tc>
          <w:tcPr>
            <w:tcW w:w="1260" w:type="dxa"/>
            <w:tcBorders>
              <w:top w:val="nil"/>
              <w:left w:val="nil"/>
              <w:bottom w:val="single" w:sz="4" w:space="0" w:color="auto"/>
              <w:right w:val="single" w:sz="4" w:space="0" w:color="auto"/>
            </w:tcBorders>
            <w:shd w:val="clear" w:color="auto" w:fill="auto"/>
            <w:noWrap/>
            <w:vAlign w:val="bottom"/>
          </w:tcPr>
          <w:p w14:paraId="33385135" w14:textId="242E3EF9"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1</w:t>
            </w:r>
            <w:r w:rsidR="00F93CFA">
              <w:rPr>
                <w:color w:val="000000"/>
                <w:sz w:val="22"/>
                <w:szCs w:val="22"/>
              </w:rPr>
              <w:t>5</w:t>
            </w:r>
            <w:r w:rsidRPr="006C1F29">
              <w:rPr>
                <w:color w:val="000000"/>
                <w:sz w:val="22"/>
                <w:szCs w:val="22"/>
              </w:rPr>
              <w:t>,</w:t>
            </w:r>
            <w:r w:rsidR="00F93CFA">
              <w:rPr>
                <w:color w:val="000000"/>
                <w:sz w:val="22"/>
                <w:szCs w:val="22"/>
              </w:rPr>
              <w:t>226</w:t>
            </w:r>
          </w:p>
        </w:tc>
      </w:tr>
      <w:tr w:rsidR="006C1F29" w:rsidRPr="00197D6D" w14:paraId="62B7CEB1"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3DFEEDD8" w14:textId="1D32946D" w:rsidR="006C1F29" w:rsidRPr="006C1F29" w:rsidRDefault="00F93CFA" w:rsidP="006C1F29">
            <w:pPr>
              <w:overflowPunct/>
              <w:autoSpaceDE/>
              <w:autoSpaceDN/>
              <w:adjustRightInd/>
              <w:textAlignment w:val="auto"/>
              <w:rPr>
                <w:color w:val="000000"/>
                <w:sz w:val="22"/>
                <w:szCs w:val="22"/>
                <w:lang w:val="en-CA" w:eastAsia="en-CA"/>
              </w:rPr>
            </w:pPr>
            <w:r w:rsidRPr="00F93CFA">
              <w:rPr>
                <w:color w:val="000000"/>
                <w:sz w:val="22"/>
                <w:szCs w:val="22"/>
              </w:rPr>
              <w:t>Food Processing</w:t>
            </w:r>
          </w:p>
        </w:tc>
        <w:tc>
          <w:tcPr>
            <w:tcW w:w="1260" w:type="dxa"/>
            <w:tcBorders>
              <w:top w:val="nil"/>
              <w:left w:val="nil"/>
              <w:bottom w:val="single" w:sz="4" w:space="0" w:color="auto"/>
              <w:right w:val="single" w:sz="4" w:space="0" w:color="auto"/>
            </w:tcBorders>
            <w:shd w:val="clear" w:color="auto" w:fill="auto"/>
            <w:noWrap/>
            <w:vAlign w:val="bottom"/>
          </w:tcPr>
          <w:p w14:paraId="77F75474" w14:textId="3874D564" w:rsidR="006C1F29" w:rsidRPr="006C1F29" w:rsidRDefault="00F93CFA" w:rsidP="006C1F29">
            <w:pPr>
              <w:overflowPunct/>
              <w:autoSpaceDE/>
              <w:autoSpaceDN/>
              <w:adjustRightInd/>
              <w:jc w:val="right"/>
              <w:textAlignment w:val="auto"/>
              <w:rPr>
                <w:color w:val="000000"/>
                <w:sz w:val="22"/>
                <w:szCs w:val="22"/>
                <w:lang w:val="en-CA" w:eastAsia="en-CA"/>
              </w:rPr>
            </w:pPr>
            <w:r w:rsidRPr="006C1F29">
              <w:rPr>
                <w:color w:val="000000"/>
                <w:sz w:val="22"/>
                <w:szCs w:val="22"/>
              </w:rPr>
              <w:t>2,</w:t>
            </w:r>
            <w:r>
              <w:rPr>
                <w:color w:val="000000"/>
                <w:sz w:val="22"/>
                <w:szCs w:val="22"/>
              </w:rPr>
              <w:t>050</w:t>
            </w:r>
            <w:r w:rsidRPr="006C1F29">
              <w:rPr>
                <w:color w:val="000000"/>
                <w:sz w:val="22"/>
                <w:szCs w:val="22"/>
              </w:rPr>
              <w:t>,000</w:t>
            </w:r>
          </w:p>
        </w:tc>
        <w:tc>
          <w:tcPr>
            <w:tcW w:w="990" w:type="dxa"/>
            <w:tcBorders>
              <w:top w:val="nil"/>
              <w:left w:val="nil"/>
              <w:bottom w:val="single" w:sz="4" w:space="0" w:color="auto"/>
              <w:right w:val="single" w:sz="4" w:space="0" w:color="auto"/>
            </w:tcBorders>
            <w:shd w:val="clear" w:color="auto" w:fill="auto"/>
            <w:noWrap/>
            <w:vAlign w:val="bottom"/>
          </w:tcPr>
          <w:p w14:paraId="666FCFF0" w14:textId="620CD466"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6A89164F" w14:textId="752B3537" w:rsidR="006C1F29" w:rsidRPr="006C1F29" w:rsidRDefault="00F93CFA" w:rsidP="006C1F29">
            <w:pPr>
              <w:overflowPunct/>
              <w:autoSpaceDE/>
              <w:autoSpaceDN/>
              <w:adjustRightInd/>
              <w:jc w:val="right"/>
              <w:textAlignment w:val="auto"/>
              <w:rPr>
                <w:color w:val="000000"/>
                <w:sz w:val="22"/>
                <w:szCs w:val="22"/>
                <w:lang w:val="en-CA" w:eastAsia="en-CA"/>
              </w:rPr>
            </w:pPr>
            <w:r w:rsidRPr="006C1F29">
              <w:rPr>
                <w:color w:val="000000"/>
                <w:sz w:val="22"/>
                <w:szCs w:val="22"/>
              </w:rPr>
              <w:t>2,</w:t>
            </w:r>
            <w:r>
              <w:rPr>
                <w:color w:val="000000"/>
                <w:sz w:val="22"/>
                <w:szCs w:val="22"/>
              </w:rPr>
              <w:t>050</w:t>
            </w:r>
            <w:r w:rsidRPr="006C1F29">
              <w:rPr>
                <w:color w:val="000000"/>
                <w:sz w:val="22"/>
                <w:szCs w:val="22"/>
              </w:rPr>
              <w:t>,000</w:t>
            </w:r>
          </w:p>
        </w:tc>
        <w:tc>
          <w:tcPr>
            <w:tcW w:w="1260" w:type="dxa"/>
            <w:tcBorders>
              <w:top w:val="nil"/>
              <w:left w:val="nil"/>
              <w:bottom w:val="single" w:sz="4" w:space="0" w:color="auto"/>
              <w:right w:val="single" w:sz="4" w:space="0" w:color="auto"/>
            </w:tcBorders>
            <w:shd w:val="clear" w:color="auto" w:fill="auto"/>
            <w:noWrap/>
            <w:vAlign w:val="bottom"/>
          </w:tcPr>
          <w:p w14:paraId="2829B2A9" w14:textId="15A581A9"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4,103</w:t>
            </w:r>
          </w:p>
        </w:tc>
      </w:tr>
      <w:tr w:rsidR="006C1F29" w:rsidRPr="00197D6D" w14:paraId="01963B80"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40813936" w14:textId="006D36A8" w:rsidR="006C1F29" w:rsidRPr="006C1F29" w:rsidRDefault="006C1F29" w:rsidP="006C1F29">
            <w:pPr>
              <w:overflowPunct/>
              <w:autoSpaceDE/>
              <w:autoSpaceDN/>
              <w:adjustRightInd/>
              <w:textAlignment w:val="auto"/>
              <w:rPr>
                <w:color w:val="000000"/>
                <w:sz w:val="22"/>
                <w:szCs w:val="22"/>
                <w:lang w:val="en-CA" w:eastAsia="en-CA"/>
              </w:rPr>
            </w:pPr>
            <w:r w:rsidRPr="006C1F29">
              <w:rPr>
                <w:color w:val="000000"/>
                <w:sz w:val="22"/>
                <w:szCs w:val="22"/>
              </w:rPr>
              <w:t>Electronics</w:t>
            </w:r>
          </w:p>
        </w:tc>
        <w:tc>
          <w:tcPr>
            <w:tcW w:w="1260" w:type="dxa"/>
            <w:tcBorders>
              <w:top w:val="nil"/>
              <w:left w:val="nil"/>
              <w:bottom w:val="single" w:sz="4" w:space="0" w:color="auto"/>
              <w:right w:val="single" w:sz="4" w:space="0" w:color="auto"/>
            </w:tcBorders>
            <w:shd w:val="clear" w:color="auto" w:fill="auto"/>
            <w:noWrap/>
            <w:vAlign w:val="bottom"/>
          </w:tcPr>
          <w:p w14:paraId="387CAF73" w14:textId="09CFC22C"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1,</w:t>
            </w:r>
            <w:r w:rsidR="00F93CFA" w:rsidRPr="006C1F29">
              <w:rPr>
                <w:color w:val="000000"/>
                <w:sz w:val="22"/>
                <w:szCs w:val="22"/>
              </w:rPr>
              <w:t>14</w:t>
            </w:r>
            <w:r w:rsidR="00F93CFA">
              <w:rPr>
                <w:color w:val="000000"/>
                <w:sz w:val="22"/>
                <w:szCs w:val="22"/>
              </w:rPr>
              <w:t>6</w:t>
            </w:r>
            <w:r w:rsidRPr="006C1F29">
              <w:rPr>
                <w:color w:val="000000"/>
                <w:sz w:val="22"/>
                <w:szCs w:val="22"/>
              </w:rPr>
              <w:t>,</w:t>
            </w:r>
            <w:r w:rsidR="00F93CFA">
              <w:rPr>
                <w:color w:val="000000"/>
                <w:sz w:val="22"/>
                <w:szCs w:val="22"/>
              </w:rPr>
              <w:t>284</w:t>
            </w:r>
          </w:p>
        </w:tc>
        <w:tc>
          <w:tcPr>
            <w:tcW w:w="990" w:type="dxa"/>
            <w:tcBorders>
              <w:top w:val="nil"/>
              <w:left w:val="nil"/>
              <w:bottom w:val="single" w:sz="4" w:space="0" w:color="auto"/>
              <w:right w:val="single" w:sz="4" w:space="0" w:color="auto"/>
            </w:tcBorders>
            <w:shd w:val="clear" w:color="auto" w:fill="auto"/>
            <w:noWrap/>
            <w:vAlign w:val="bottom"/>
          </w:tcPr>
          <w:p w14:paraId="226398A9" w14:textId="22B8D03F"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454</w:t>
            </w:r>
            <w:r w:rsidR="006C1F29" w:rsidRPr="006C1F29">
              <w:rPr>
                <w:color w:val="000000"/>
                <w:sz w:val="22"/>
                <w:szCs w:val="22"/>
              </w:rPr>
              <w:t>,</w:t>
            </w:r>
            <w:r>
              <w:rPr>
                <w:color w:val="000000"/>
                <w:sz w:val="22"/>
                <w:szCs w:val="22"/>
              </w:rPr>
              <w:t>790</w:t>
            </w:r>
          </w:p>
        </w:tc>
        <w:tc>
          <w:tcPr>
            <w:tcW w:w="1350" w:type="dxa"/>
            <w:tcBorders>
              <w:top w:val="nil"/>
              <w:left w:val="nil"/>
              <w:bottom w:val="single" w:sz="4" w:space="0" w:color="auto"/>
              <w:right w:val="single" w:sz="4" w:space="0" w:color="auto"/>
            </w:tcBorders>
            <w:shd w:val="clear" w:color="auto" w:fill="auto"/>
            <w:noWrap/>
            <w:vAlign w:val="bottom"/>
          </w:tcPr>
          <w:p w14:paraId="61E4429D" w14:textId="256A7FF0"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1,</w:t>
            </w:r>
            <w:r w:rsidR="00F93CFA" w:rsidRPr="006C1F29">
              <w:rPr>
                <w:color w:val="000000"/>
                <w:sz w:val="22"/>
                <w:szCs w:val="22"/>
              </w:rPr>
              <w:t>6</w:t>
            </w:r>
            <w:r w:rsidR="00F93CFA">
              <w:rPr>
                <w:color w:val="000000"/>
                <w:sz w:val="22"/>
                <w:szCs w:val="22"/>
              </w:rPr>
              <w:t>01</w:t>
            </w:r>
            <w:r w:rsidRPr="006C1F29">
              <w:rPr>
                <w:color w:val="000000"/>
                <w:sz w:val="22"/>
                <w:szCs w:val="22"/>
              </w:rPr>
              <w:t>,</w:t>
            </w:r>
            <w:r w:rsidR="00F93CFA">
              <w:rPr>
                <w:color w:val="000000"/>
                <w:sz w:val="22"/>
                <w:szCs w:val="22"/>
              </w:rPr>
              <w:t>074</w:t>
            </w:r>
          </w:p>
        </w:tc>
        <w:tc>
          <w:tcPr>
            <w:tcW w:w="1260" w:type="dxa"/>
            <w:tcBorders>
              <w:top w:val="nil"/>
              <w:left w:val="nil"/>
              <w:bottom w:val="single" w:sz="4" w:space="0" w:color="auto"/>
              <w:right w:val="single" w:sz="4" w:space="0" w:color="auto"/>
            </w:tcBorders>
            <w:shd w:val="clear" w:color="auto" w:fill="auto"/>
            <w:noWrap/>
            <w:vAlign w:val="bottom"/>
          </w:tcPr>
          <w:p w14:paraId="0CDC7C39" w14:textId="793104BE"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1,</w:t>
            </w:r>
            <w:r w:rsidR="00F93CFA" w:rsidRPr="006C1F29">
              <w:rPr>
                <w:color w:val="000000"/>
                <w:sz w:val="22"/>
                <w:szCs w:val="22"/>
              </w:rPr>
              <w:t>85</w:t>
            </w:r>
            <w:r w:rsidR="00F93CFA">
              <w:rPr>
                <w:color w:val="000000"/>
                <w:sz w:val="22"/>
                <w:szCs w:val="22"/>
              </w:rPr>
              <w:t>3</w:t>
            </w:r>
            <w:r w:rsidRPr="006C1F29">
              <w:rPr>
                <w:color w:val="000000"/>
                <w:sz w:val="22"/>
                <w:szCs w:val="22"/>
              </w:rPr>
              <w:t>,</w:t>
            </w:r>
            <w:r w:rsidR="00F93CFA">
              <w:rPr>
                <w:color w:val="000000"/>
                <w:sz w:val="22"/>
                <w:szCs w:val="22"/>
              </w:rPr>
              <w:t>716</w:t>
            </w:r>
          </w:p>
        </w:tc>
      </w:tr>
      <w:tr w:rsidR="006C1F29" w:rsidRPr="00197D6D" w14:paraId="3182E7FE"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tcPr>
          <w:p w14:paraId="7B755817" w14:textId="2B120131" w:rsidR="006C1F29" w:rsidRPr="006C1F29" w:rsidRDefault="006C1F29" w:rsidP="006C1F29">
            <w:pPr>
              <w:overflowPunct/>
              <w:autoSpaceDE/>
              <w:autoSpaceDN/>
              <w:adjustRightInd/>
              <w:textAlignment w:val="auto"/>
              <w:rPr>
                <w:color w:val="000000"/>
                <w:sz w:val="22"/>
                <w:szCs w:val="22"/>
                <w:lang w:val="en-CA" w:eastAsia="en-CA"/>
              </w:rPr>
            </w:pPr>
            <w:r w:rsidRPr="006C1F29">
              <w:rPr>
                <w:color w:val="000000"/>
                <w:sz w:val="22"/>
                <w:szCs w:val="22"/>
              </w:rPr>
              <w:t>Fertilizers</w:t>
            </w:r>
          </w:p>
        </w:tc>
        <w:tc>
          <w:tcPr>
            <w:tcW w:w="1260" w:type="dxa"/>
            <w:tcBorders>
              <w:top w:val="nil"/>
              <w:left w:val="nil"/>
              <w:bottom w:val="single" w:sz="4" w:space="0" w:color="auto"/>
              <w:right w:val="single" w:sz="4" w:space="0" w:color="auto"/>
            </w:tcBorders>
            <w:shd w:val="clear" w:color="auto" w:fill="auto"/>
            <w:noWrap/>
            <w:vAlign w:val="bottom"/>
          </w:tcPr>
          <w:p w14:paraId="5FC16C35" w14:textId="08391210"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4</w:t>
            </w:r>
            <w:r w:rsidR="006C1F29" w:rsidRPr="006C1F29">
              <w:rPr>
                <w:color w:val="000000"/>
                <w:sz w:val="22"/>
                <w:szCs w:val="22"/>
              </w:rPr>
              <w:t>,</w:t>
            </w:r>
            <w:r>
              <w:rPr>
                <w:color w:val="000000"/>
                <w:sz w:val="22"/>
                <w:szCs w:val="22"/>
              </w:rPr>
              <w:t>900</w:t>
            </w:r>
            <w:r w:rsidR="006C1F29" w:rsidRPr="006C1F29">
              <w:rPr>
                <w:color w:val="000000"/>
                <w:sz w:val="22"/>
                <w:szCs w:val="22"/>
              </w:rPr>
              <w:t>,</w:t>
            </w:r>
            <w:r>
              <w:rPr>
                <w:color w:val="000000"/>
                <w:sz w:val="22"/>
                <w:szCs w:val="22"/>
              </w:rPr>
              <w:t>000</w:t>
            </w:r>
          </w:p>
        </w:tc>
        <w:tc>
          <w:tcPr>
            <w:tcW w:w="990" w:type="dxa"/>
            <w:tcBorders>
              <w:top w:val="nil"/>
              <w:left w:val="nil"/>
              <w:bottom w:val="single" w:sz="4" w:space="0" w:color="auto"/>
              <w:right w:val="single" w:sz="4" w:space="0" w:color="auto"/>
            </w:tcBorders>
            <w:shd w:val="clear" w:color="auto" w:fill="auto"/>
            <w:noWrap/>
            <w:vAlign w:val="bottom"/>
          </w:tcPr>
          <w:p w14:paraId="1A610A64" w14:textId="5BC5467B"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17D86FB4" w14:textId="1076A1CB"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4</w:t>
            </w:r>
            <w:r w:rsidRPr="006C1F29">
              <w:rPr>
                <w:color w:val="000000"/>
                <w:sz w:val="22"/>
                <w:szCs w:val="22"/>
              </w:rPr>
              <w:t>,</w:t>
            </w:r>
            <w:r>
              <w:rPr>
                <w:color w:val="000000"/>
                <w:sz w:val="22"/>
                <w:szCs w:val="22"/>
              </w:rPr>
              <w:t>900</w:t>
            </w:r>
            <w:r w:rsidRPr="006C1F29">
              <w:rPr>
                <w:color w:val="000000"/>
                <w:sz w:val="22"/>
                <w:szCs w:val="22"/>
              </w:rPr>
              <w:t>,</w:t>
            </w:r>
            <w:r>
              <w:rPr>
                <w:color w:val="000000"/>
                <w:sz w:val="22"/>
                <w:szCs w:val="22"/>
              </w:rPr>
              <w:t>000</w:t>
            </w:r>
          </w:p>
        </w:tc>
        <w:tc>
          <w:tcPr>
            <w:tcW w:w="1260" w:type="dxa"/>
            <w:tcBorders>
              <w:top w:val="nil"/>
              <w:left w:val="nil"/>
              <w:bottom w:val="single" w:sz="4" w:space="0" w:color="auto"/>
              <w:right w:val="single" w:sz="4" w:space="0" w:color="auto"/>
            </w:tcBorders>
            <w:shd w:val="clear" w:color="auto" w:fill="auto"/>
            <w:noWrap/>
            <w:vAlign w:val="bottom"/>
          </w:tcPr>
          <w:p w14:paraId="654209E8" w14:textId="3229A224"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w:t>
            </w:r>
          </w:p>
        </w:tc>
      </w:tr>
      <w:tr w:rsidR="006C1F29" w:rsidRPr="00197D6D" w14:paraId="587B6B5D"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633E4819" w14:textId="34306707" w:rsidR="006C1F29" w:rsidRPr="006C1F29" w:rsidRDefault="006C1F29" w:rsidP="006C1F29">
            <w:pPr>
              <w:overflowPunct/>
              <w:autoSpaceDE/>
              <w:autoSpaceDN/>
              <w:adjustRightInd/>
              <w:textAlignment w:val="auto"/>
              <w:rPr>
                <w:color w:val="000000"/>
                <w:sz w:val="22"/>
                <w:szCs w:val="22"/>
                <w:lang w:val="en-CA" w:eastAsia="en-CA"/>
              </w:rPr>
            </w:pPr>
            <w:r w:rsidRPr="006C1F29">
              <w:rPr>
                <w:color w:val="000000"/>
                <w:sz w:val="22"/>
                <w:szCs w:val="22"/>
              </w:rPr>
              <w:t>NBFCs</w:t>
            </w:r>
          </w:p>
        </w:tc>
        <w:tc>
          <w:tcPr>
            <w:tcW w:w="1260" w:type="dxa"/>
            <w:tcBorders>
              <w:top w:val="nil"/>
              <w:left w:val="nil"/>
              <w:bottom w:val="single" w:sz="4" w:space="0" w:color="auto"/>
              <w:right w:val="single" w:sz="4" w:space="0" w:color="auto"/>
            </w:tcBorders>
            <w:shd w:val="clear" w:color="auto" w:fill="auto"/>
            <w:noWrap/>
            <w:vAlign w:val="bottom"/>
          </w:tcPr>
          <w:p w14:paraId="6760DB85" w14:textId="023E1E2B"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7</w:t>
            </w:r>
            <w:r w:rsidR="006C1F29" w:rsidRPr="006C1F29">
              <w:rPr>
                <w:color w:val="000000"/>
                <w:sz w:val="22"/>
                <w:szCs w:val="22"/>
              </w:rPr>
              <w:t>,590,000</w:t>
            </w:r>
          </w:p>
        </w:tc>
        <w:tc>
          <w:tcPr>
            <w:tcW w:w="990" w:type="dxa"/>
            <w:tcBorders>
              <w:top w:val="nil"/>
              <w:left w:val="nil"/>
              <w:bottom w:val="single" w:sz="4" w:space="0" w:color="auto"/>
              <w:right w:val="single" w:sz="4" w:space="0" w:color="auto"/>
            </w:tcBorders>
            <w:shd w:val="clear" w:color="auto" w:fill="auto"/>
            <w:noWrap/>
            <w:vAlign w:val="bottom"/>
          </w:tcPr>
          <w:p w14:paraId="09D26180" w14:textId="3FD128E0"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66F3195B" w14:textId="2417F7FE"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7</w:t>
            </w:r>
            <w:r w:rsidRPr="006C1F29">
              <w:rPr>
                <w:color w:val="000000"/>
                <w:sz w:val="22"/>
                <w:szCs w:val="22"/>
              </w:rPr>
              <w:t>,590,000</w:t>
            </w:r>
          </w:p>
        </w:tc>
        <w:tc>
          <w:tcPr>
            <w:tcW w:w="1260" w:type="dxa"/>
            <w:tcBorders>
              <w:top w:val="nil"/>
              <w:left w:val="nil"/>
              <w:bottom w:val="single" w:sz="4" w:space="0" w:color="auto"/>
              <w:right w:val="single" w:sz="4" w:space="0" w:color="auto"/>
            </w:tcBorders>
            <w:shd w:val="clear" w:color="auto" w:fill="auto"/>
            <w:noWrap/>
            <w:vAlign w:val="bottom"/>
          </w:tcPr>
          <w:p w14:paraId="17209832" w14:textId="1B9B0D0C"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r>
      <w:tr w:rsidR="006C1F29" w:rsidRPr="00197D6D" w14:paraId="36C6DCD1"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11D2A747" w14:textId="14D8293A" w:rsidR="006C1F29" w:rsidRPr="006C1F29" w:rsidRDefault="006C1F29" w:rsidP="006C1F29">
            <w:pPr>
              <w:overflowPunct/>
              <w:autoSpaceDE/>
              <w:autoSpaceDN/>
              <w:adjustRightInd/>
              <w:textAlignment w:val="auto"/>
              <w:rPr>
                <w:color w:val="000000"/>
                <w:sz w:val="22"/>
                <w:szCs w:val="22"/>
                <w:lang w:val="en-CA" w:eastAsia="en-CA"/>
              </w:rPr>
            </w:pPr>
            <w:r w:rsidRPr="006C1F29">
              <w:rPr>
                <w:color w:val="000000"/>
                <w:sz w:val="22"/>
                <w:szCs w:val="22"/>
              </w:rPr>
              <w:t>Other Industries</w:t>
            </w:r>
          </w:p>
        </w:tc>
        <w:tc>
          <w:tcPr>
            <w:tcW w:w="1260" w:type="dxa"/>
            <w:tcBorders>
              <w:top w:val="nil"/>
              <w:left w:val="nil"/>
              <w:bottom w:val="single" w:sz="4" w:space="0" w:color="auto"/>
              <w:right w:val="single" w:sz="4" w:space="0" w:color="auto"/>
            </w:tcBorders>
            <w:shd w:val="clear" w:color="auto" w:fill="auto"/>
            <w:noWrap/>
            <w:vAlign w:val="bottom"/>
          </w:tcPr>
          <w:p w14:paraId="59681620" w14:textId="5F5A8FAE"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1</w:t>
            </w:r>
            <w:r w:rsidR="006C1F29" w:rsidRPr="006C1F29">
              <w:rPr>
                <w:color w:val="000000"/>
                <w:sz w:val="22"/>
                <w:szCs w:val="22"/>
              </w:rPr>
              <w:t>,</w:t>
            </w:r>
            <w:r>
              <w:rPr>
                <w:color w:val="000000"/>
                <w:sz w:val="22"/>
                <w:szCs w:val="22"/>
              </w:rPr>
              <w:t>628</w:t>
            </w:r>
            <w:r w:rsidR="00BE774C">
              <w:rPr>
                <w:color w:val="000000"/>
                <w:sz w:val="22"/>
                <w:szCs w:val="22"/>
              </w:rPr>
              <w:t>,</w:t>
            </w:r>
            <w:r>
              <w:rPr>
                <w:color w:val="000000"/>
                <w:sz w:val="22"/>
                <w:szCs w:val="22"/>
              </w:rPr>
              <w:t>881</w:t>
            </w:r>
          </w:p>
        </w:tc>
        <w:tc>
          <w:tcPr>
            <w:tcW w:w="990" w:type="dxa"/>
            <w:tcBorders>
              <w:top w:val="nil"/>
              <w:left w:val="nil"/>
              <w:bottom w:val="single" w:sz="4" w:space="0" w:color="auto"/>
              <w:right w:val="single" w:sz="4" w:space="0" w:color="auto"/>
            </w:tcBorders>
            <w:shd w:val="clear" w:color="auto" w:fill="auto"/>
            <w:noWrap/>
            <w:vAlign w:val="bottom"/>
          </w:tcPr>
          <w:p w14:paraId="0925A078" w14:textId="2F750F53" w:rsidR="006C1F29" w:rsidRPr="006C1F29" w:rsidRDefault="00BE774C" w:rsidP="006C1F29">
            <w:pPr>
              <w:overflowPunct/>
              <w:autoSpaceDE/>
              <w:autoSpaceDN/>
              <w:adjustRightInd/>
              <w:jc w:val="right"/>
              <w:textAlignment w:val="auto"/>
              <w:rPr>
                <w:color w:val="000000"/>
                <w:sz w:val="22"/>
                <w:szCs w:val="22"/>
                <w:lang w:val="en-CA" w:eastAsia="en-CA"/>
              </w:rPr>
            </w:pPr>
            <w:r>
              <w:rPr>
                <w:color w:val="000000"/>
                <w:sz w:val="22"/>
                <w:szCs w:val="22"/>
              </w:rPr>
              <w:t>3,615</w:t>
            </w:r>
          </w:p>
        </w:tc>
        <w:tc>
          <w:tcPr>
            <w:tcW w:w="1350" w:type="dxa"/>
            <w:tcBorders>
              <w:top w:val="nil"/>
              <w:left w:val="nil"/>
              <w:bottom w:val="single" w:sz="4" w:space="0" w:color="auto"/>
              <w:right w:val="single" w:sz="4" w:space="0" w:color="auto"/>
            </w:tcBorders>
            <w:shd w:val="clear" w:color="auto" w:fill="auto"/>
            <w:noWrap/>
            <w:vAlign w:val="bottom"/>
          </w:tcPr>
          <w:p w14:paraId="0389E314" w14:textId="44644C95"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1</w:t>
            </w:r>
            <w:r w:rsidR="006C1F29" w:rsidRPr="006C1F29">
              <w:rPr>
                <w:color w:val="000000"/>
                <w:sz w:val="22"/>
                <w:szCs w:val="22"/>
              </w:rPr>
              <w:t>,</w:t>
            </w:r>
            <w:r>
              <w:rPr>
                <w:color w:val="000000"/>
                <w:sz w:val="22"/>
                <w:szCs w:val="22"/>
              </w:rPr>
              <w:t>632</w:t>
            </w:r>
            <w:r w:rsidR="00BE774C">
              <w:rPr>
                <w:color w:val="000000"/>
                <w:sz w:val="22"/>
                <w:szCs w:val="22"/>
              </w:rPr>
              <w:t>,</w:t>
            </w:r>
            <w:r>
              <w:rPr>
                <w:color w:val="000000"/>
                <w:sz w:val="22"/>
                <w:szCs w:val="22"/>
              </w:rPr>
              <w:t>496</w:t>
            </w:r>
          </w:p>
        </w:tc>
        <w:tc>
          <w:tcPr>
            <w:tcW w:w="1260" w:type="dxa"/>
            <w:tcBorders>
              <w:top w:val="nil"/>
              <w:left w:val="nil"/>
              <w:bottom w:val="single" w:sz="4" w:space="0" w:color="auto"/>
              <w:right w:val="single" w:sz="4" w:space="0" w:color="auto"/>
            </w:tcBorders>
            <w:shd w:val="clear" w:color="auto" w:fill="auto"/>
            <w:noWrap/>
            <w:vAlign w:val="bottom"/>
          </w:tcPr>
          <w:p w14:paraId="5BD934AE" w14:textId="3E214A0C"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1</w:t>
            </w:r>
            <w:r w:rsidR="006C1F29" w:rsidRPr="006C1F29">
              <w:rPr>
                <w:color w:val="000000"/>
                <w:sz w:val="22"/>
                <w:szCs w:val="22"/>
              </w:rPr>
              <w:t>,</w:t>
            </w:r>
            <w:r>
              <w:rPr>
                <w:color w:val="000000"/>
                <w:sz w:val="22"/>
                <w:szCs w:val="22"/>
              </w:rPr>
              <w:t>078</w:t>
            </w:r>
            <w:r w:rsidR="006C1F29" w:rsidRPr="006C1F29">
              <w:rPr>
                <w:color w:val="000000"/>
                <w:sz w:val="22"/>
                <w:szCs w:val="22"/>
              </w:rPr>
              <w:t>,</w:t>
            </w:r>
            <w:r>
              <w:rPr>
                <w:color w:val="000000"/>
                <w:sz w:val="22"/>
                <w:szCs w:val="22"/>
              </w:rPr>
              <w:t>993</w:t>
            </w:r>
          </w:p>
        </w:tc>
      </w:tr>
      <w:tr w:rsidR="006C1F29" w:rsidRPr="00197D6D" w14:paraId="36280E45" w14:textId="77777777" w:rsidTr="00F043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bottom"/>
          </w:tcPr>
          <w:p w14:paraId="5A2BB39A" w14:textId="6DF018A8" w:rsidR="006C1F29" w:rsidRPr="006C1F29" w:rsidRDefault="006C1F29" w:rsidP="006C1F29">
            <w:pPr>
              <w:overflowPunct/>
              <w:autoSpaceDE/>
              <w:autoSpaceDN/>
              <w:adjustRightInd/>
              <w:textAlignment w:val="auto"/>
              <w:rPr>
                <w:color w:val="000000"/>
                <w:sz w:val="22"/>
                <w:szCs w:val="22"/>
                <w:lang w:val="en-CA" w:eastAsia="en-CA"/>
              </w:rPr>
            </w:pPr>
            <w:r w:rsidRPr="006C1F29">
              <w:rPr>
                <w:color w:val="000000"/>
                <w:sz w:val="22"/>
                <w:szCs w:val="22"/>
              </w:rPr>
              <w:t>Petroleum (non-infra), Coal Products (non-mining) and Nuclear Fuels</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5995FB60" w14:textId="2C5A2F03"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3</w:t>
            </w:r>
            <w:r w:rsidR="006C1F29" w:rsidRPr="006C1F29">
              <w:rPr>
                <w:color w:val="000000"/>
                <w:sz w:val="22"/>
                <w:szCs w:val="22"/>
              </w:rPr>
              <w:t>,</w:t>
            </w:r>
            <w:r>
              <w:rPr>
                <w:color w:val="000000"/>
                <w:sz w:val="22"/>
                <w:szCs w:val="22"/>
              </w:rPr>
              <w:t>350</w:t>
            </w:r>
            <w:r w:rsidR="006C1F29" w:rsidRPr="006C1F29">
              <w:rPr>
                <w:color w:val="000000"/>
                <w:sz w:val="22"/>
                <w:szCs w:val="22"/>
              </w:rPr>
              <w:t>,000</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69D9894F" w14:textId="56EEC49A"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9758A11" w14:textId="1ACA5E22"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3</w:t>
            </w:r>
            <w:r w:rsidRPr="006C1F29">
              <w:rPr>
                <w:color w:val="000000"/>
                <w:sz w:val="22"/>
                <w:szCs w:val="22"/>
              </w:rPr>
              <w:t>,</w:t>
            </w:r>
            <w:r>
              <w:rPr>
                <w:color w:val="000000"/>
                <w:sz w:val="22"/>
                <w:szCs w:val="22"/>
              </w:rPr>
              <w:t>350</w:t>
            </w:r>
            <w:r w:rsidRPr="006C1F29">
              <w:rPr>
                <w:color w:val="000000"/>
                <w:sz w:val="22"/>
                <w:szCs w:val="22"/>
              </w:rPr>
              <w:t>,000</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0D3E9D5F" w14:textId="2984A75E"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81</w:t>
            </w:r>
            <w:r w:rsidR="006C1F29" w:rsidRPr="006C1F29">
              <w:rPr>
                <w:color w:val="000000"/>
                <w:sz w:val="22"/>
                <w:szCs w:val="22"/>
              </w:rPr>
              <w:t>,</w:t>
            </w:r>
            <w:r>
              <w:rPr>
                <w:color w:val="000000"/>
                <w:sz w:val="22"/>
                <w:szCs w:val="22"/>
              </w:rPr>
              <w:t>782</w:t>
            </w:r>
          </w:p>
        </w:tc>
      </w:tr>
      <w:tr w:rsidR="006C1F29" w:rsidRPr="00197D6D" w14:paraId="27FB67D2" w14:textId="77777777" w:rsidTr="00F043AE">
        <w:trPr>
          <w:trHeight w:val="235"/>
        </w:trPr>
        <w:tc>
          <w:tcPr>
            <w:tcW w:w="3420" w:type="dxa"/>
            <w:tcBorders>
              <w:top w:val="nil"/>
              <w:left w:val="single" w:sz="4" w:space="0" w:color="auto"/>
              <w:bottom w:val="single" w:sz="4" w:space="0" w:color="auto"/>
              <w:right w:val="single" w:sz="4" w:space="0" w:color="auto"/>
            </w:tcBorders>
            <w:shd w:val="clear" w:color="auto" w:fill="auto"/>
            <w:vAlign w:val="bottom"/>
          </w:tcPr>
          <w:p w14:paraId="69F18352" w14:textId="78DD8436" w:rsidR="006C1F29" w:rsidRPr="006C1F29" w:rsidRDefault="006C1F29" w:rsidP="006C1F29">
            <w:pPr>
              <w:overflowPunct/>
              <w:autoSpaceDE/>
              <w:autoSpaceDN/>
              <w:adjustRightInd/>
              <w:textAlignment w:val="auto"/>
              <w:rPr>
                <w:color w:val="000000"/>
                <w:sz w:val="22"/>
                <w:szCs w:val="22"/>
                <w:lang w:val="en-CA" w:eastAsia="en-CA"/>
              </w:rPr>
            </w:pPr>
            <w:r w:rsidRPr="006C1F29">
              <w:rPr>
                <w:color w:val="000000"/>
                <w:sz w:val="22"/>
                <w:szCs w:val="22"/>
              </w:rPr>
              <w:t>Professional Services</w:t>
            </w:r>
          </w:p>
        </w:tc>
        <w:tc>
          <w:tcPr>
            <w:tcW w:w="1260" w:type="dxa"/>
            <w:tcBorders>
              <w:top w:val="nil"/>
              <w:left w:val="nil"/>
              <w:bottom w:val="single" w:sz="4" w:space="0" w:color="auto"/>
              <w:right w:val="single" w:sz="4" w:space="0" w:color="auto"/>
            </w:tcBorders>
            <w:shd w:val="clear" w:color="auto" w:fill="auto"/>
            <w:noWrap/>
            <w:vAlign w:val="bottom"/>
          </w:tcPr>
          <w:p w14:paraId="7147C21E" w14:textId="2B9F72AE"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1,500,000</w:t>
            </w:r>
          </w:p>
        </w:tc>
        <w:tc>
          <w:tcPr>
            <w:tcW w:w="990" w:type="dxa"/>
            <w:tcBorders>
              <w:top w:val="nil"/>
              <w:left w:val="nil"/>
              <w:bottom w:val="single" w:sz="4" w:space="0" w:color="auto"/>
              <w:right w:val="single" w:sz="4" w:space="0" w:color="auto"/>
            </w:tcBorders>
            <w:shd w:val="clear" w:color="auto" w:fill="auto"/>
            <w:noWrap/>
            <w:vAlign w:val="bottom"/>
          </w:tcPr>
          <w:p w14:paraId="68EEF73A" w14:textId="1D32F911"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328F4F80" w14:textId="49FDCDCE"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1,500,000</w:t>
            </w:r>
          </w:p>
        </w:tc>
        <w:tc>
          <w:tcPr>
            <w:tcW w:w="1260" w:type="dxa"/>
            <w:tcBorders>
              <w:top w:val="nil"/>
              <w:left w:val="nil"/>
              <w:bottom w:val="single" w:sz="4" w:space="0" w:color="auto"/>
              <w:right w:val="single" w:sz="4" w:space="0" w:color="auto"/>
            </w:tcBorders>
            <w:shd w:val="clear" w:color="auto" w:fill="auto"/>
            <w:noWrap/>
            <w:vAlign w:val="bottom"/>
          </w:tcPr>
          <w:p w14:paraId="3EE9BCC3" w14:textId="28B64CE8"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r>
      <w:tr w:rsidR="006C1F29" w:rsidRPr="00197D6D" w14:paraId="53E28A49" w14:textId="77777777" w:rsidTr="00F043AE">
        <w:trPr>
          <w:trHeight w:val="278"/>
        </w:trPr>
        <w:tc>
          <w:tcPr>
            <w:tcW w:w="3420" w:type="dxa"/>
            <w:tcBorders>
              <w:top w:val="nil"/>
              <w:left w:val="single" w:sz="4" w:space="0" w:color="auto"/>
              <w:bottom w:val="single" w:sz="4" w:space="0" w:color="auto"/>
              <w:right w:val="single" w:sz="4" w:space="0" w:color="auto"/>
            </w:tcBorders>
            <w:shd w:val="clear" w:color="auto" w:fill="auto"/>
            <w:vAlign w:val="bottom"/>
          </w:tcPr>
          <w:p w14:paraId="72CABB1A" w14:textId="313B66BE" w:rsidR="006C1F29" w:rsidRPr="006C1F29" w:rsidRDefault="006C1F29" w:rsidP="006C1F29">
            <w:pPr>
              <w:overflowPunct/>
              <w:autoSpaceDE/>
              <w:autoSpaceDN/>
              <w:adjustRightInd/>
              <w:textAlignment w:val="auto"/>
              <w:rPr>
                <w:color w:val="000000"/>
                <w:sz w:val="22"/>
                <w:szCs w:val="22"/>
                <w:lang w:val="en-CA" w:eastAsia="en-CA"/>
              </w:rPr>
            </w:pPr>
            <w:r w:rsidRPr="006C1F29">
              <w:rPr>
                <w:color w:val="000000"/>
                <w:sz w:val="22"/>
                <w:szCs w:val="22"/>
              </w:rPr>
              <w:t>Rubber, Plastic and their Products</w:t>
            </w:r>
          </w:p>
        </w:tc>
        <w:tc>
          <w:tcPr>
            <w:tcW w:w="1260" w:type="dxa"/>
            <w:tcBorders>
              <w:top w:val="nil"/>
              <w:left w:val="nil"/>
              <w:bottom w:val="single" w:sz="4" w:space="0" w:color="auto"/>
              <w:right w:val="single" w:sz="4" w:space="0" w:color="auto"/>
            </w:tcBorders>
            <w:shd w:val="clear" w:color="auto" w:fill="auto"/>
            <w:noWrap/>
            <w:vAlign w:val="bottom"/>
          </w:tcPr>
          <w:p w14:paraId="6678D026" w14:textId="21574697"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2</w:t>
            </w:r>
            <w:r w:rsidR="006C1F29" w:rsidRPr="006C1F29">
              <w:rPr>
                <w:color w:val="000000"/>
                <w:sz w:val="22"/>
                <w:szCs w:val="22"/>
              </w:rPr>
              <w:t>,</w:t>
            </w:r>
            <w:r>
              <w:rPr>
                <w:color w:val="000000"/>
                <w:sz w:val="22"/>
                <w:szCs w:val="22"/>
              </w:rPr>
              <w:t>103</w:t>
            </w:r>
            <w:r w:rsidR="006C1F29" w:rsidRPr="006C1F29">
              <w:rPr>
                <w:color w:val="000000"/>
                <w:sz w:val="22"/>
                <w:szCs w:val="22"/>
              </w:rPr>
              <w:t>,</w:t>
            </w:r>
            <w:r>
              <w:rPr>
                <w:color w:val="000000"/>
                <w:sz w:val="22"/>
                <w:szCs w:val="22"/>
              </w:rPr>
              <w:t>296</w:t>
            </w:r>
          </w:p>
        </w:tc>
        <w:tc>
          <w:tcPr>
            <w:tcW w:w="990" w:type="dxa"/>
            <w:tcBorders>
              <w:top w:val="nil"/>
              <w:left w:val="nil"/>
              <w:bottom w:val="single" w:sz="4" w:space="0" w:color="auto"/>
              <w:right w:val="single" w:sz="4" w:space="0" w:color="auto"/>
            </w:tcBorders>
            <w:shd w:val="clear" w:color="auto" w:fill="auto"/>
            <w:noWrap/>
            <w:vAlign w:val="bottom"/>
          </w:tcPr>
          <w:p w14:paraId="43D63DD0" w14:textId="21F16CAC"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0D0E1FA5" w14:textId="2C3BC2C8"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2</w:t>
            </w:r>
            <w:r w:rsidRPr="006C1F29">
              <w:rPr>
                <w:color w:val="000000"/>
                <w:sz w:val="22"/>
                <w:szCs w:val="22"/>
              </w:rPr>
              <w:t>,</w:t>
            </w:r>
            <w:r>
              <w:rPr>
                <w:color w:val="000000"/>
                <w:sz w:val="22"/>
                <w:szCs w:val="22"/>
              </w:rPr>
              <w:t>103</w:t>
            </w:r>
            <w:r w:rsidRPr="006C1F29">
              <w:rPr>
                <w:color w:val="000000"/>
                <w:sz w:val="22"/>
                <w:szCs w:val="22"/>
              </w:rPr>
              <w:t>,</w:t>
            </w:r>
            <w:r>
              <w:rPr>
                <w:color w:val="000000"/>
                <w:sz w:val="22"/>
                <w:szCs w:val="22"/>
              </w:rPr>
              <w:t>296</w:t>
            </w:r>
          </w:p>
        </w:tc>
        <w:tc>
          <w:tcPr>
            <w:tcW w:w="1260" w:type="dxa"/>
            <w:tcBorders>
              <w:top w:val="nil"/>
              <w:left w:val="nil"/>
              <w:bottom w:val="single" w:sz="4" w:space="0" w:color="auto"/>
              <w:right w:val="single" w:sz="4" w:space="0" w:color="auto"/>
            </w:tcBorders>
            <w:shd w:val="clear" w:color="auto" w:fill="auto"/>
            <w:noWrap/>
            <w:vAlign w:val="bottom"/>
          </w:tcPr>
          <w:p w14:paraId="71E0B090" w14:textId="6B4A5DF4"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46</w:t>
            </w:r>
            <w:r w:rsidR="006C1F29" w:rsidRPr="006C1F29">
              <w:rPr>
                <w:color w:val="000000"/>
                <w:sz w:val="22"/>
                <w:szCs w:val="22"/>
              </w:rPr>
              <w:t>,</w:t>
            </w:r>
            <w:r>
              <w:rPr>
                <w:color w:val="000000"/>
                <w:sz w:val="22"/>
                <w:szCs w:val="22"/>
              </w:rPr>
              <w:t>704</w:t>
            </w:r>
          </w:p>
        </w:tc>
      </w:tr>
      <w:tr w:rsidR="006C1F29" w:rsidRPr="00197D6D" w14:paraId="3785A6BD"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1C23AB30" w14:textId="2F69A4C3" w:rsidR="006C1F29" w:rsidRPr="006C1F29" w:rsidRDefault="006C1F29" w:rsidP="006C1F29">
            <w:pPr>
              <w:overflowPunct/>
              <w:autoSpaceDE/>
              <w:autoSpaceDN/>
              <w:adjustRightInd/>
              <w:textAlignment w:val="auto"/>
              <w:rPr>
                <w:color w:val="000000"/>
                <w:sz w:val="22"/>
                <w:szCs w:val="22"/>
                <w:lang w:val="en-CA" w:eastAsia="en-CA"/>
              </w:rPr>
            </w:pPr>
            <w:r w:rsidRPr="006C1F29">
              <w:rPr>
                <w:color w:val="000000"/>
                <w:sz w:val="22"/>
                <w:szCs w:val="22"/>
              </w:rPr>
              <w:t>Telecommunication and Telecom Services</w:t>
            </w:r>
          </w:p>
        </w:tc>
        <w:tc>
          <w:tcPr>
            <w:tcW w:w="1260" w:type="dxa"/>
            <w:tcBorders>
              <w:top w:val="nil"/>
              <w:left w:val="nil"/>
              <w:bottom w:val="single" w:sz="4" w:space="0" w:color="auto"/>
              <w:right w:val="single" w:sz="4" w:space="0" w:color="auto"/>
            </w:tcBorders>
            <w:shd w:val="clear" w:color="auto" w:fill="auto"/>
            <w:noWrap/>
            <w:vAlign w:val="bottom"/>
          </w:tcPr>
          <w:p w14:paraId="1F6B03EA" w14:textId="0DE9BF0E"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bottom"/>
          </w:tcPr>
          <w:p w14:paraId="6781F9AD" w14:textId="11F66A40"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0054619B" w14:textId="5D401DEA"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tcPr>
          <w:p w14:paraId="40311F2C" w14:textId="5D333574"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7</w:t>
            </w:r>
            <w:r w:rsidR="006C1F29" w:rsidRPr="006C1F29">
              <w:rPr>
                <w:color w:val="000000"/>
                <w:sz w:val="22"/>
                <w:szCs w:val="22"/>
              </w:rPr>
              <w:t>,</w:t>
            </w:r>
            <w:r>
              <w:rPr>
                <w:color w:val="000000"/>
                <w:sz w:val="22"/>
                <w:szCs w:val="22"/>
              </w:rPr>
              <w:t>370</w:t>
            </w:r>
          </w:p>
        </w:tc>
      </w:tr>
      <w:tr w:rsidR="006C1F29" w:rsidRPr="00197D6D" w14:paraId="39E131DA"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1D5A7B07" w14:textId="03896EA2" w:rsidR="006C1F29" w:rsidRPr="006C1F29" w:rsidRDefault="006C1F29" w:rsidP="006C1F29">
            <w:pPr>
              <w:overflowPunct/>
              <w:autoSpaceDE/>
              <w:autoSpaceDN/>
              <w:adjustRightInd/>
              <w:textAlignment w:val="auto"/>
              <w:rPr>
                <w:color w:val="000000"/>
                <w:sz w:val="22"/>
                <w:szCs w:val="22"/>
                <w:lang w:val="en-CA" w:eastAsia="en-CA"/>
              </w:rPr>
            </w:pPr>
            <w:r w:rsidRPr="006C1F29">
              <w:rPr>
                <w:color w:val="000000"/>
                <w:sz w:val="22"/>
                <w:szCs w:val="22"/>
              </w:rPr>
              <w:t>Textiles</w:t>
            </w:r>
          </w:p>
        </w:tc>
        <w:tc>
          <w:tcPr>
            <w:tcW w:w="1260" w:type="dxa"/>
            <w:tcBorders>
              <w:top w:val="nil"/>
              <w:left w:val="nil"/>
              <w:bottom w:val="single" w:sz="4" w:space="0" w:color="auto"/>
              <w:right w:val="single" w:sz="4" w:space="0" w:color="auto"/>
            </w:tcBorders>
            <w:shd w:val="clear" w:color="auto" w:fill="auto"/>
            <w:noWrap/>
            <w:vAlign w:val="bottom"/>
          </w:tcPr>
          <w:p w14:paraId="332E7145" w14:textId="7CC06740"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1,095</w:t>
            </w:r>
            <w:r w:rsidR="006C1F29" w:rsidRPr="006C1F29">
              <w:rPr>
                <w:color w:val="000000"/>
                <w:sz w:val="22"/>
                <w:szCs w:val="22"/>
              </w:rPr>
              <w:t>,</w:t>
            </w:r>
            <w:r>
              <w:rPr>
                <w:color w:val="000000"/>
                <w:sz w:val="22"/>
                <w:szCs w:val="22"/>
              </w:rPr>
              <w:t>979</w:t>
            </w:r>
          </w:p>
        </w:tc>
        <w:tc>
          <w:tcPr>
            <w:tcW w:w="990" w:type="dxa"/>
            <w:tcBorders>
              <w:top w:val="nil"/>
              <w:left w:val="nil"/>
              <w:bottom w:val="single" w:sz="4" w:space="0" w:color="auto"/>
              <w:right w:val="single" w:sz="4" w:space="0" w:color="auto"/>
            </w:tcBorders>
            <w:shd w:val="clear" w:color="auto" w:fill="auto"/>
            <w:noWrap/>
            <w:vAlign w:val="bottom"/>
          </w:tcPr>
          <w:p w14:paraId="17BC209C" w14:textId="52C142FF"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273BD185" w14:textId="7C460752"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1,095</w:t>
            </w:r>
            <w:r w:rsidRPr="006C1F29">
              <w:rPr>
                <w:color w:val="000000"/>
                <w:sz w:val="22"/>
                <w:szCs w:val="22"/>
              </w:rPr>
              <w:t>,</w:t>
            </w:r>
            <w:r>
              <w:rPr>
                <w:color w:val="000000"/>
                <w:sz w:val="22"/>
                <w:szCs w:val="22"/>
              </w:rPr>
              <w:t>979</w:t>
            </w:r>
          </w:p>
        </w:tc>
        <w:tc>
          <w:tcPr>
            <w:tcW w:w="1260" w:type="dxa"/>
            <w:tcBorders>
              <w:top w:val="nil"/>
              <w:left w:val="nil"/>
              <w:bottom w:val="single" w:sz="4" w:space="0" w:color="auto"/>
              <w:right w:val="single" w:sz="4" w:space="0" w:color="auto"/>
            </w:tcBorders>
            <w:shd w:val="clear" w:color="auto" w:fill="auto"/>
            <w:noWrap/>
            <w:vAlign w:val="bottom"/>
          </w:tcPr>
          <w:p w14:paraId="3CE1B4C8" w14:textId="310900EC"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4</w:t>
            </w:r>
            <w:r w:rsidR="006C1F29" w:rsidRPr="006C1F29">
              <w:rPr>
                <w:color w:val="000000"/>
                <w:sz w:val="22"/>
                <w:szCs w:val="22"/>
              </w:rPr>
              <w:t>,</w:t>
            </w:r>
            <w:r>
              <w:rPr>
                <w:color w:val="000000"/>
                <w:sz w:val="22"/>
                <w:szCs w:val="22"/>
              </w:rPr>
              <w:t>0</w:t>
            </w:r>
            <w:r w:rsidRPr="006C1F29">
              <w:rPr>
                <w:color w:val="000000"/>
                <w:sz w:val="22"/>
                <w:szCs w:val="22"/>
              </w:rPr>
              <w:t>21</w:t>
            </w:r>
          </w:p>
        </w:tc>
      </w:tr>
      <w:tr w:rsidR="006C1F29" w:rsidRPr="00197D6D" w14:paraId="609CB4B9"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0F423FD4" w14:textId="61CFA828" w:rsidR="006C1F29" w:rsidRPr="006C1F29" w:rsidRDefault="006C1F29" w:rsidP="006C1F29">
            <w:pPr>
              <w:overflowPunct/>
              <w:autoSpaceDE/>
              <w:autoSpaceDN/>
              <w:adjustRightInd/>
              <w:textAlignment w:val="auto"/>
              <w:rPr>
                <w:color w:val="000000"/>
                <w:sz w:val="22"/>
                <w:szCs w:val="22"/>
                <w:lang w:val="en-CA" w:eastAsia="en-CA"/>
              </w:rPr>
            </w:pPr>
            <w:r w:rsidRPr="006C1F29">
              <w:rPr>
                <w:color w:val="000000"/>
                <w:sz w:val="22"/>
                <w:szCs w:val="22"/>
              </w:rPr>
              <w:t xml:space="preserve">Vehicles, Vehicle Parts and Transport </w:t>
            </w:r>
            <w:proofErr w:type="spellStart"/>
            <w:r w:rsidRPr="006C1F29">
              <w:rPr>
                <w:color w:val="000000"/>
                <w:sz w:val="22"/>
                <w:szCs w:val="22"/>
              </w:rPr>
              <w:t>Equipments</w:t>
            </w:r>
            <w:proofErr w:type="spellEnd"/>
          </w:p>
        </w:tc>
        <w:tc>
          <w:tcPr>
            <w:tcW w:w="1260" w:type="dxa"/>
            <w:tcBorders>
              <w:top w:val="nil"/>
              <w:left w:val="nil"/>
              <w:bottom w:val="single" w:sz="4" w:space="0" w:color="auto"/>
              <w:right w:val="single" w:sz="4" w:space="0" w:color="auto"/>
            </w:tcBorders>
            <w:shd w:val="clear" w:color="auto" w:fill="auto"/>
            <w:noWrap/>
            <w:vAlign w:val="bottom"/>
          </w:tcPr>
          <w:p w14:paraId="7B97745D" w14:textId="5814B784"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4</w:t>
            </w:r>
            <w:r w:rsidR="006C1F29" w:rsidRPr="006C1F29">
              <w:rPr>
                <w:color w:val="000000"/>
                <w:sz w:val="22"/>
                <w:szCs w:val="22"/>
              </w:rPr>
              <w:t>,</w:t>
            </w:r>
            <w:r>
              <w:rPr>
                <w:color w:val="000000"/>
                <w:sz w:val="22"/>
                <w:szCs w:val="22"/>
              </w:rPr>
              <w:t>650</w:t>
            </w:r>
            <w:r w:rsidR="006C1F29" w:rsidRPr="006C1F29">
              <w:rPr>
                <w:color w:val="000000"/>
                <w:sz w:val="22"/>
                <w:szCs w:val="22"/>
              </w:rPr>
              <w:t>,</w:t>
            </w:r>
            <w:r>
              <w:rPr>
                <w:color w:val="000000"/>
                <w:sz w:val="22"/>
                <w:szCs w:val="22"/>
              </w:rPr>
              <w:t>000</w:t>
            </w:r>
          </w:p>
        </w:tc>
        <w:tc>
          <w:tcPr>
            <w:tcW w:w="990" w:type="dxa"/>
            <w:tcBorders>
              <w:top w:val="nil"/>
              <w:left w:val="nil"/>
              <w:bottom w:val="single" w:sz="4" w:space="0" w:color="auto"/>
              <w:right w:val="single" w:sz="4" w:space="0" w:color="auto"/>
            </w:tcBorders>
            <w:shd w:val="clear" w:color="auto" w:fill="auto"/>
            <w:noWrap/>
            <w:vAlign w:val="bottom"/>
          </w:tcPr>
          <w:p w14:paraId="7C581781" w14:textId="4F359E44"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5A8ABCA7" w14:textId="2DD126FC"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4</w:t>
            </w:r>
            <w:r w:rsidRPr="006C1F29">
              <w:rPr>
                <w:color w:val="000000"/>
                <w:sz w:val="22"/>
                <w:szCs w:val="22"/>
              </w:rPr>
              <w:t>,</w:t>
            </w:r>
            <w:r>
              <w:rPr>
                <w:color w:val="000000"/>
                <w:sz w:val="22"/>
                <w:szCs w:val="22"/>
              </w:rPr>
              <w:t>650</w:t>
            </w:r>
            <w:r w:rsidRPr="006C1F29">
              <w:rPr>
                <w:color w:val="000000"/>
                <w:sz w:val="22"/>
                <w:szCs w:val="22"/>
              </w:rPr>
              <w:t>,</w:t>
            </w:r>
            <w:r>
              <w:rPr>
                <w:color w:val="000000"/>
                <w:sz w:val="22"/>
                <w:szCs w:val="22"/>
              </w:rPr>
              <w:t>000</w:t>
            </w:r>
          </w:p>
        </w:tc>
        <w:tc>
          <w:tcPr>
            <w:tcW w:w="1260" w:type="dxa"/>
            <w:tcBorders>
              <w:top w:val="nil"/>
              <w:left w:val="nil"/>
              <w:bottom w:val="single" w:sz="4" w:space="0" w:color="auto"/>
              <w:right w:val="single" w:sz="4" w:space="0" w:color="auto"/>
            </w:tcBorders>
            <w:shd w:val="clear" w:color="auto" w:fill="auto"/>
            <w:noWrap/>
            <w:vAlign w:val="bottom"/>
          </w:tcPr>
          <w:p w14:paraId="17743833" w14:textId="4BD157D4"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w:t>
            </w:r>
          </w:p>
        </w:tc>
      </w:tr>
      <w:tr w:rsidR="006C1F29" w:rsidRPr="00197D6D" w14:paraId="70C15212"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76CDFFE2" w14:textId="1CDDF24E" w:rsidR="006C1F29" w:rsidRPr="006C1F29" w:rsidRDefault="006C1F29" w:rsidP="006C1F29">
            <w:pPr>
              <w:overflowPunct/>
              <w:autoSpaceDE/>
              <w:autoSpaceDN/>
              <w:adjustRightInd/>
              <w:textAlignment w:val="auto"/>
              <w:rPr>
                <w:color w:val="000000"/>
                <w:sz w:val="22"/>
                <w:szCs w:val="22"/>
                <w:lang w:val="en-CA" w:eastAsia="en-CA"/>
              </w:rPr>
            </w:pPr>
            <w:r w:rsidRPr="006C1F29">
              <w:rPr>
                <w:color w:val="000000"/>
                <w:sz w:val="22"/>
                <w:szCs w:val="22"/>
              </w:rPr>
              <w:t>Wholesale Trade (other than Food Procurement)</w:t>
            </w:r>
          </w:p>
        </w:tc>
        <w:tc>
          <w:tcPr>
            <w:tcW w:w="1260" w:type="dxa"/>
            <w:tcBorders>
              <w:top w:val="nil"/>
              <w:left w:val="nil"/>
              <w:bottom w:val="single" w:sz="4" w:space="0" w:color="auto"/>
              <w:right w:val="single" w:sz="4" w:space="0" w:color="auto"/>
            </w:tcBorders>
            <w:shd w:val="clear" w:color="auto" w:fill="auto"/>
            <w:noWrap/>
            <w:vAlign w:val="bottom"/>
          </w:tcPr>
          <w:p w14:paraId="57DE89C5" w14:textId="199CFF25"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2,</w:t>
            </w:r>
            <w:r w:rsidR="00F93CFA">
              <w:rPr>
                <w:color w:val="000000"/>
                <w:sz w:val="22"/>
                <w:szCs w:val="22"/>
              </w:rPr>
              <w:t>810</w:t>
            </w:r>
            <w:r w:rsidRPr="006C1F29">
              <w:rPr>
                <w:color w:val="000000"/>
                <w:sz w:val="22"/>
                <w:szCs w:val="22"/>
              </w:rPr>
              <w:t>,</w:t>
            </w:r>
            <w:r w:rsidR="00F93CFA">
              <w:rPr>
                <w:color w:val="000000"/>
                <w:sz w:val="22"/>
                <w:szCs w:val="22"/>
              </w:rPr>
              <w:t>974</w:t>
            </w:r>
          </w:p>
        </w:tc>
        <w:tc>
          <w:tcPr>
            <w:tcW w:w="990" w:type="dxa"/>
            <w:tcBorders>
              <w:top w:val="nil"/>
              <w:left w:val="nil"/>
              <w:bottom w:val="single" w:sz="4" w:space="0" w:color="auto"/>
              <w:right w:val="single" w:sz="4" w:space="0" w:color="auto"/>
            </w:tcBorders>
            <w:shd w:val="clear" w:color="auto" w:fill="auto"/>
            <w:noWrap/>
            <w:vAlign w:val="bottom"/>
          </w:tcPr>
          <w:p w14:paraId="0F583066" w14:textId="486732D0" w:rsidR="006C1F29" w:rsidRPr="006C1F29" w:rsidRDefault="006C1F29" w:rsidP="006C1F29">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454566C3" w14:textId="36F4E79D" w:rsidR="006C1F29" w:rsidRPr="006C1F29" w:rsidRDefault="00F93CFA" w:rsidP="006C1F29">
            <w:pPr>
              <w:overflowPunct/>
              <w:autoSpaceDE/>
              <w:autoSpaceDN/>
              <w:adjustRightInd/>
              <w:jc w:val="right"/>
              <w:textAlignment w:val="auto"/>
              <w:rPr>
                <w:color w:val="000000"/>
                <w:sz w:val="22"/>
                <w:szCs w:val="22"/>
                <w:lang w:val="en-CA" w:eastAsia="en-CA"/>
              </w:rPr>
            </w:pPr>
            <w:r w:rsidRPr="006C1F29">
              <w:rPr>
                <w:color w:val="000000"/>
                <w:sz w:val="22"/>
                <w:szCs w:val="22"/>
              </w:rPr>
              <w:t>2,</w:t>
            </w:r>
            <w:r>
              <w:rPr>
                <w:color w:val="000000"/>
                <w:sz w:val="22"/>
                <w:szCs w:val="22"/>
              </w:rPr>
              <w:t>810</w:t>
            </w:r>
            <w:r w:rsidRPr="006C1F29">
              <w:rPr>
                <w:color w:val="000000"/>
                <w:sz w:val="22"/>
                <w:szCs w:val="22"/>
              </w:rPr>
              <w:t>,</w:t>
            </w:r>
            <w:r>
              <w:rPr>
                <w:color w:val="000000"/>
                <w:sz w:val="22"/>
                <w:szCs w:val="22"/>
              </w:rPr>
              <w:t>974</w:t>
            </w:r>
          </w:p>
        </w:tc>
        <w:tc>
          <w:tcPr>
            <w:tcW w:w="1260" w:type="dxa"/>
            <w:tcBorders>
              <w:top w:val="nil"/>
              <w:left w:val="nil"/>
              <w:bottom w:val="single" w:sz="4" w:space="0" w:color="auto"/>
              <w:right w:val="single" w:sz="4" w:space="0" w:color="auto"/>
            </w:tcBorders>
            <w:shd w:val="clear" w:color="auto" w:fill="auto"/>
            <w:noWrap/>
            <w:vAlign w:val="bottom"/>
          </w:tcPr>
          <w:p w14:paraId="1284190A" w14:textId="37C91C78" w:rsidR="006C1F29" w:rsidRPr="006C1F29" w:rsidRDefault="00F93CFA" w:rsidP="006C1F29">
            <w:pPr>
              <w:overflowPunct/>
              <w:autoSpaceDE/>
              <w:autoSpaceDN/>
              <w:adjustRightInd/>
              <w:jc w:val="right"/>
              <w:textAlignment w:val="auto"/>
              <w:rPr>
                <w:color w:val="000000"/>
                <w:sz w:val="22"/>
                <w:szCs w:val="22"/>
                <w:lang w:val="en-CA" w:eastAsia="en-CA"/>
              </w:rPr>
            </w:pPr>
            <w:r>
              <w:rPr>
                <w:color w:val="000000"/>
                <w:sz w:val="22"/>
                <w:szCs w:val="22"/>
              </w:rPr>
              <w:t>589</w:t>
            </w:r>
            <w:r w:rsidR="006C1F29" w:rsidRPr="006C1F29">
              <w:rPr>
                <w:color w:val="000000"/>
                <w:sz w:val="22"/>
                <w:szCs w:val="22"/>
              </w:rPr>
              <w:t>,</w:t>
            </w:r>
            <w:r>
              <w:rPr>
                <w:color w:val="000000"/>
                <w:sz w:val="22"/>
                <w:szCs w:val="22"/>
              </w:rPr>
              <w:t>026</w:t>
            </w:r>
          </w:p>
        </w:tc>
      </w:tr>
      <w:tr w:rsidR="006C1F29" w:rsidRPr="00197D6D" w14:paraId="783E8C8B"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43767AA5" w14:textId="57680A7D" w:rsidR="006C1F29" w:rsidRPr="006C1F29" w:rsidRDefault="006C1F29" w:rsidP="006C1F29">
            <w:pPr>
              <w:overflowPunct/>
              <w:autoSpaceDE/>
              <w:autoSpaceDN/>
              <w:adjustRightInd/>
              <w:textAlignment w:val="auto"/>
              <w:rPr>
                <w:color w:val="000000"/>
                <w:sz w:val="22"/>
                <w:szCs w:val="22"/>
                <w:lang w:val="en-CA" w:eastAsia="en-CA"/>
              </w:rPr>
            </w:pPr>
            <w:r w:rsidRPr="006C1F29">
              <w:rPr>
                <w:b/>
                <w:bCs/>
                <w:color w:val="000000"/>
                <w:sz w:val="22"/>
                <w:szCs w:val="22"/>
              </w:rPr>
              <w:lastRenderedPageBreak/>
              <w:t>Total Exposure</w:t>
            </w:r>
          </w:p>
        </w:tc>
        <w:tc>
          <w:tcPr>
            <w:tcW w:w="1260" w:type="dxa"/>
            <w:tcBorders>
              <w:top w:val="nil"/>
              <w:left w:val="nil"/>
              <w:bottom w:val="single" w:sz="4" w:space="0" w:color="auto"/>
              <w:right w:val="single" w:sz="4" w:space="0" w:color="auto"/>
            </w:tcBorders>
            <w:shd w:val="clear" w:color="auto" w:fill="auto"/>
            <w:noWrap/>
            <w:vAlign w:val="bottom"/>
          </w:tcPr>
          <w:p w14:paraId="334BDA64" w14:textId="55866835" w:rsidR="006C1F29" w:rsidRPr="006C1F29" w:rsidRDefault="00F93CFA" w:rsidP="006C1F29">
            <w:pPr>
              <w:overflowPunct/>
              <w:autoSpaceDE/>
              <w:autoSpaceDN/>
              <w:adjustRightInd/>
              <w:jc w:val="right"/>
              <w:textAlignment w:val="auto"/>
              <w:rPr>
                <w:color w:val="000000"/>
                <w:sz w:val="22"/>
                <w:szCs w:val="22"/>
                <w:lang w:val="en-CA" w:eastAsia="en-CA"/>
              </w:rPr>
            </w:pPr>
            <w:r>
              <w:rPr>
                <w:b/>
                <w:bCs/>
                <w:color w:val="000000"/>
                <w:sz w:val="22"/>
                <w:szCs w:val="22"/>
              </w:rPr>
              <w:t>38</w:t>
            </w:r>
            <w:r w:rsidR="006C1F29" w:rsidRPr="006C1F29">
              <w:rPr>
                <w:b/>
                <w:bCs/>
                <w:color w:val="000000"/>
                <w:sz w:val="22"/>
                <w:szCs w:val="22"/>
              </w:rPr>
              <w:t>,</w:t>
            </w:r>
            <w:r>
              <w:rPr>
                <w:b/>
                <w:bCs/>
                <w:color w:val="000000"/>
                <w:sz w:val="22"/>
                <w:szCs w:val="22"/>
              </w:rPr>
              <w:t>259</w:t>
            </w:r>
            <w:r w:rsidR="006C1F29" w:rsidRPr="006C1F29">
              <w:rPr>
                <w:b/>
                <w:bCs/>
                <w:color w:val="000000"/>
                <w:sz w:val="22"/>
                <w:szCs w:val="22"/>
              </w:rPr>
              <w:t>,</w:t>
            </w:r>
            <w:r>
              <w:rPr>
                <w:b/>
                <w:bCs/>
                <w:color w:val="000000"/>
                <w:sz w:val="22"/>
                <w:szCs w:val="22"/>
              </w:rPr>
              <w:t>282</w:t>
            </w:r>
          </w:p>
        </w:tc>
        <w:tc>
          <w:tcPr>
            <w:tcW w:w="990" w:type="dxa"/>
            <w:tcBorders>
              <w:top w:val="nil"/>
              <w:left w:val="nil"/>
              <w:bottom w:val="single" w:sz="4" w:space="0" w:color="auto"/>
              <w:right w:val="single" w:sz="4" w:space="0" w:color="auto"/>
            </w:tcBorders>
            <w:shd w:val="clear" w:color="auto" w:fill="auto"/>
            <w:noWrap/>
            <w:vAlign w:val="bottom"/>
          </w:tcPr>
          <w:p w14:paraId="00060EFD" w14:textId="0282A0B6" w:rsidR="006C1F29" w:rsidRPr="006C1F29" w:rsidRDefault="00F93CFA" w:rsidP="006C1F29">
            <w:pPr>
              <w:overflowPunct/>
              <w:autoSpaceDE/>
              <w:autoSpaceDN/>
              <w:adjustRightInd/>
              <w:jc w:val="right"/>
              <w:textAlignment w:val="auto"/>
              <w:rPr>
                <w:color w:val="000000"/>
                <w:sz w:val="22"/>
                <w:szCs w:val="22"/>
                <w:lang w:val="en-CA" w:eastAsia="en-CA"/>
              </w:rPr>
            </w:pPr>
            <w:r w:rsidRPr="006C1F29">
              <w:rPr>
                <w:b/>
                <w:bCs/>
                <w:color w:val="000000"/>
                <w:sz w:val="22"/>
                <w:szCs w:val="22"/>
              </w:rPr>
              <w:t>6</w:t>
            </w:r>
            <w:r>
              <w:rPr>
                <w:b/>
                <w:bCs/>
                <w:color w:val="000000"/>
                <w:sz w:val="22"/>
                <w:szCs w:val="22"/>
              </w:rPr>
              <w:t>35</w:t>
            </w:r>
            <w:r w:rsidR="006C1F29" w:rsidRPr="006C1F29">
              <w:rPr>
                <w:b/>
                <w:bCs/>
                <w:color w:val="000000"/>
                <w:sz w:val="22"/>
                <w:szCs w:val="22"/>
              </w:rPr>
              <w:t>,</w:t>
            </w:r>
            <w:r>
              <w:rPr>
                <w:b/>
                <w:bCs/>
                <w:color w:val="000000"/>
                <w:sz w:val="22"/>
                <w:szCs w:val="22"/>
              </w:rPr>
              <w:t>244</w:t>
            </w:r>
          </w:p>
        </w:tc>
        <w:tc>
          <w:tcPr>
            <w:tcW w:w="1350" w:type="dxa"/>
            <w:tcBorders>
              <w:top w:val="nil"/>
              <w:left w:val="nil"/>
              <w:bottom w:val="single" w:sz="4" w:space="0" w:color="auto"/>
              <w:right w:val="single" w:sz="4" w:space="0" w:color="auto"/>
            </w:tcBorders>
            <w:shd w:val="clear" w:color="auto" w:fill="auto"/>
            <w:noWrap/>
            <w:vAlign w:val="bottom"/>
          </w:tcPr>
          <w:p w14:paraId="0379BF87" w14:textId="31DFAAE5" w:rsidR="006C1F29" w:rsidRPr="006C1F29" w:rsidRDefault="00F93CFA" w:rsidP="006C1F29">
            <w:pPr>
              <w:overflowPunct/>
              <w:autoSpaceDE/>
              <w:autoSpaceDN/>
              <w:adjustRightInd/>
              <w:jc w:val="right"/>
              <w:textAlignment w:val="auto"/>
              <w:rPr>
                <w:color w:val="000000"/>
                <w:sz w:val="22"/>
                <w:szCs w:val="22"/>
                <w:lang w:val="en-CA" w:eastAsia="en-CA"/>
              </w:rPr>
            </w:pPr>
            <w:r>
              <w:rPr>
                <w:b/>
                <w:bCs/>
                <w:color w:val="000000"/>
                <w:sz w:val="22"/>
                <w:szCs w:val="22"/>
              </w:rPr>
              <w:t>38</w:t>
            </w:r>
            <w:r w:rsidR="006C1F29" w:rsidRPr="006C1F29">
              <w:rPr>
                <w:b/>
                <w:bCs/>
                <w:color w:val="000000"/>
                <w:sz w:val="22"/>
                <w:szCs w:val="22"/>
              </w:rPr>
              <w:t>,</w:t>
            </w:r>
            <w:r w:rsidRPr="006C1F29">
              <w:rPr>
                <w:b/>
                <w:bCs/>
                <w:color w:val="000000"/>
                <w:sz w:val="22"/>
                <w:szCs w:val="22"/>
              </w:rPr>
              <w:t>8</w:t>
            </w:r>
            <w:r>
              <w:rPr>
                <w:b/>
                <w:bCs/>
                <w:color w:val="000000"/>
                <w:sz w:val="22"/>
                <w:szCs w:val="22"/>
              </w:rPr>
              <w:t>9</w:t>
            </w:r>
            <w:r w:rsidRPr="006C1F29">
              <w:rPr>
                <w:b/>
                <w:bCs/>
                <w:color w:val="000000"/>
                <w:sz w:val="22"/>
                <w:szCs w:val="22"/>
              </w:rPr>
              <w:t>4</w:t>
            </w:r>
            <w:r w:rsidR="006C1F29" w:rsidRPr="006C1F29">
              <w:rPr>
                <w:b/>
                <w:bCs/>
                <w:color w:val="000000"/>
                <w:sz w:val="22"/>
                <w:szCs w:val="22"/>
              </w:rPr>
              <w:t>,</w:t>
            </w:r>
            <w:r>
              <w:rPr>
                <w:b/>
                <w:bCs/>
                <w:color w:val="000000"/>
                <w:sz w:val="22"/>
                <w:szCs w:val="22"/>
              </w:rPr>
              <w:t>526</w:t>
            </w:r>
          </w:p>
        </w:tc>
        <w:tc>
          <w:tcPr>
            <w:tcW w:w="1260" w:type="dxa"/>
            <w:tcBorders>
              <w:top w:val="nil"/>
              <w:left w:val="nil"/>
              <w:bottom w:val="single" w:sz="4" w:space="0" w:color="auto"/>
              <w:right w:val="single" w:sz="4" w:space="0" w:color="auto"/>
            </w:tcBorders>
            <w:shd w:val="clear" w:color="auto" w:fill="auto"/>
            <w:noWrap/>
            <w:vAlign w:val="bottom"/>
          </w:tcPr>
          <w:p w14:paraId="70B559AF" w14:textId="0202F7C9" w:rsidR="006C1F29" w:rsidRPr="006C1F29" w:rsidRDefault="00F93CFA" w:rsidP="006C1F29">
            <w:pPr>
              <w:overflowPunct/>
              <w:autoSpaceDE/>
              <w:autoSpaceDN/>
              <w:adjustRightInd/>
              <w:jc w:val="right"/>
              <w:textAlignment w:val="auto"/>
              <w:rPr>
                <w:color w:val="000000"/>
                <w:sz w:val="22"/>
                <w:szCs w:val="22"/>
                <w:lang w:val="en-CA" w:eastAsia="en-CA"/>
              </w:rPr>
            </w:pPr>
            <w:r>
              <w:rPr>
                <w:b/>
                <w:bCs/>
                <w:color w:val="000000"/>
                <w:sz w:val="22"/>
                <w:szCs w:val="22"/>
              </w:rPr>
              <w:t>9</w:t>
            </w:r>
            <w:r w:rsidR="006C1F29" w:rsidRPr="006C1F29">
              <w:rPr>
                <w:b/>
                <w:bCs/>
                <w:color w:val="000000"/>
                <w:sz w:val="22"/>
                <w:szCs w:val="22"/>
              </w:rPr>
              <w:t>,</w:t>
            </w:r>
            <w:r>
              <w:rPr>
                <w:b/>
                <w:bCs/>
                <w:color w:val="000000"/>
                <w:sz w:val="22"/>
                <w:szCs w:val="22"/>
              </w:rPr>
              <w:t>990</w:t>
            </w:r>
            <w:r w:rsidR="006C1F29" w:rsidRPr="006C1F29">
              <w:rPr>
                <w:b/>
                <w:bCs/>
                <w:color w:val="000000"/>
                <w:sz w:val="22"/>
                <w:szCs w:val="22"/>
              </w:rPr>
              <w:t>,</w:t>
            </w:r>
            <w:r>
              <w:rPr>
                <w:b/>
                <w:bCs/>
                <w:color w:val="000000"/>
                <w:sz w:val="22"/>
                <w:szCs w:val="22"/>
              </w:rPr>
              <w:t>0</w:t>
            </w:r>
            <w:r w:rsidRPr="006C1F29">
              <w:rPr>
                <w:b/>
                <w:bCs/>
                <w:color w:val="000000"/>
                <w:sz w:val="22"/>
                <w:szCs w:val="22"/>
              </w:rPr>
              <w:t>13</w:t>
            </w:r>
          </w:p>
        </w:tc>
      </w:tr>
    </w:tbl>
    <w:p w14:paraId="1BEB838D" w14:textId="77777777" w:rsidR="00FB613F" w:rsidRPr="00981466" w:rsidRDefault="00FB613F" w:rsidP="00981466">
      <w:pPr>
        <w:tabs>
          <w:tab w:val="left" w:pos="1440"/>
        </w:tabs>
        <w:ind w:right="-540"/>
        <w:rPr>
          <w:sz w:val="24"/>
          <w:szCs w:val="22"/>
        </w:rPr>
      </w:pPr>
    </w:p>
    <w:p w14:paraId="3522877F" w14:textId="77777777" w:rsidR="00DD0912" w:rsidRPr="00981466" w:rsidRDefault="00E61DF7" w:rsidP="00CB578D">
      <w:pPr>
        <w:tabs>
          <w:tab w:val="left" w:pos="1440"/>
        </w:tabs>
        <w:ind w:left="1440" w:right="-540" w:hanging="720"/>
        <w:rPr>
          <w:sz w:val="24"/>
          <w:szCs w:val="22"/>
        </w:rPr>
      </w:pPr>
      <w:r w:rsidRPr="00981466">
        <w:rPr>
          <w:sz w:val="24"/>
          <w:szCs w:val="22"/>
        </w:rPr>
        <w:t>d)</w:t>
      </w:r>
      <w:r w:rsidRPr="00981466">
        <w:rPr>
          <w:sz w:val="24"/>
          <w:szCs w:val="22"/>
        </w:rPr>
        <w:tab/>
        <w:t>Residual Contractual Maturity Breakdown of Assets</w:t>
      </w:r>
      <w:r w:rsidR="00CB578D" w:rsidRPr="00981466">
        <w:rPr>
          <w:sz w:val="24"/>
          <w:szCs w:val="22"/>
        </w:rPr>
        <w:t xml:space="preserve">              </w:t>
      </w:r>
      <w:r w:rsidR="00981466">
        <w:rPr>
          <w:sz w:val="24"/>
          <w:szCs w:val="22"/>
        </w:rPr>
        <w:t xml:space="preserve"> </w:t>
      </w:r>
      <w:r w:rsidR="00CB578D" w:rsidRPr="00981466">
        <w:rPr>
          <w:sz w:val="24"/>
          <w:szCs w:val="22"/>
        </w:rPr>
        <w:t xml:space="preserve">                        </w:t>
      </w:r>
      <w:r w:rsidR="002B2C1E" w:rsidRPr="00981466">
        <w:rPr>
          <w:sz w:val="24"/>
          <w:szCs w:val="22"/>
        </w:rPr>
        <w:t xml:space="preserve"> </w:t>
      </w:r>
      <w:r w:rsidR="00CB578D" w:rsidRPr="00981466">
        <w:rPr>
          <w:sz w:val="24"/>
          <w:szCs w:val="22"/>
        </w:rPr>
        <w:t>(</w:t>
      </w:r>
      <w:r w:rsidR="002B2C1E" w:rsidRPr="00981466">
        <w:rPr>
          <w:sz w:val="24"/>
          <w:szCs w:val="22"/>
        </w:rPr>
        <w:t xml:space="preserve">In </w:t>
      </w:r>
      <w:r w:rsidR="00CB578D" w:rsidRPr="00981466">
        <w:rPr>
          <w:sz w:val="24"/>
          <w:szCs w:val="22"/>
        </w:rPr>
        <w:t>Rs.000’s)</w:t>
      </w:r>
    </w:p>
    <w:p w14:paraId="08B4F3B9" w14:textId="350F2944" w:rsidR="0078059E" w:rsidRDefault="0078059E" w:rsidP="00CB578D">
      <w:pPr>
        <w:tabs>
          <w:tab w:val="left" w:pos="1440"/>
        </w:tabs>
        <w:ind w:left="1440" w:right="-540" w:hanging="720"/>
        <w:rPr>
          <w:sz w:val="24"/>
          <w:szCs w:val="22"/>
        </w:rPr>
      </w:pPr>
    </w:p>
    <w:tbl>
      <w:tblPr>
        <w:tblW w:w="11163" w:type="dxa"/>
        <w:tblInd w:w="-964" w:type="dxa"/>
        <w:tblBorders>
          <w:top w:val="single" w:sz="4" w:space="0" w:color="auto"/>
          <w:left w:val="single" w:sz="4" w:space="0" w:color="auto"/>
          <w:bottom w:val="single" w:sz="4" w:space="0" w:color="auto"/>
          <w:right w:val="single" w:sz="4" w:space="0" w:color="auto"/>
        </w:tblBorders>
        <w:tblLayout w:type="fixed"/>
        <w:tblCellMar>
          <w:left w:w="29" w:type="dxa"/>
          <w:right w:w="72" w:type="dxa"/>
        </w:tblCellMar>
        <w:tblLook w:val="0000" w:firstRow="0" w:lastRow="0" w:firstColumn="0" w:lastColumn="0" w:noHBand="0" w:noVBand="0"/>
      </w:tblPr>
      <w:tblGrid>
        <w:gridCol w:w="1135"/>
        <w:gridCol w:w="851"/>
        <w:gridCol w:w="850"/>
        <w:gridCol w:w="851"/>
        <w:gridCol w:w="850"/>
        <w:gridCol w:w="851"/>
        <w:gridCol w:w="850"/>
        <w:gridCol w:w="851"/>
        <w:gridCol w:w="850"/>
        <w:gridCol w:w="851"/>
        <w:gridCol w:w="708"/>
        <w:gridCol w:w="709"/>
        <w:gridCol w:w="956"/>
      </w:tblGrid>
      <w:tr w:rsidR="005C5040" w:rsidRPr="001B4A94" w14:paraId="707EDE35" w14:textId="77777777" w:rsidTr="005C5040">
        <w:trPr>
          <w:trHeight w:val="593"/>
        </w:trPr>
        <w:tc>
          <w:tcPr>
            <w:tcW w:w="1135" w:type="dxa"/>
            <w:tcBorders>
              <w:top w:val="single" w:sz="4" w:space="0" w:color="auto"/>
              <w:bottom w:val="single" w:sz="4" w:space="0" w:color="auto"/>
              <w:right w:val="single" w:sz="4" w:space="0" w:color="auto"/>
            </w:tcBorders>
            <w:vAlign w:val="center"/>
          </w:tcPr>
          <w:p w14:paraId="39D4766C" w14:textId="77777777" w:rsidR="005C5040" w:rsidRPr="008F6866" w:rsidRDefault="005C5040" w:rsidP="009574BD">
            <w:pPr>
              <w:spacing w:before="40" w:after="40"/>
              <w:ind w:left="-479" w:firstLine="569"/>
              <w:jc w:val="center"/>
              <w:rPr>
                <w:rFonts w:eastAsia="Arial Unicode MS"/>
                <w:b/>
                <w:sz w:val="16"/>
                <w:szCs w:val="16"/>
              </w:rPr>
            </w:pPr>
            <w:r w:rsidRPr="008F6866">
              <w:rPr>
                <w:rFonts w:eastAsia="Arial Unicode MS"/>
                <w:b/>
                <w:sz w:val="16"/>
                <w:szCs w:val="16"/>
              </w:rPr>
              <w:t>Particulars</w:t>
            </w:r>
          </w:p>
        </w:tc>
        <w:tc>
          <w:tcPr>
            <w:tcW w:w="851" w:type="dxa"/>
            <w:tcBorders>
              <w:top w:val="single" w:sz="4" w:space="0" w:color="auto"/>
              <w:bottom w:val="single" w:sz="4" w:space="0" w:color="auto"/>
              <w:right w:val="single" w:sz="4" w:space="0" w:color="auto"/>
            </w:tcBorders>
            <w:vAlign w:val="center"/>
          </w:tcPr>
          <w:p w14:paraId="26CFEF78" w14:textId="77777777" w:rsidR="005C5040" w:rsidRPr="008F6866" w:rsidRDefault="005C5040" w:rsidP="009574BD">
            <w:pPr>
              <w:jc w:val="center"/>
              <w:rPr>
                <w:b/>
                <w:sz w:val="16"/>
                <w:szCs w:val="16"/>
              </w:rPr>
            </w:pPr>
            <w:r w:rsidRPr="008F6866">
              <w:rPr>
                <w:b/>
                <w:sz w:val="16"/>
                <w:szCs w:val="16"/>
              </w:rPr>
              <w:t>1 Day</w:t>
            </w:r>
          </w:p>
        </w:tc>
        <w:tc>
          <w:tcPr>
            <w:tcW w:w="850" w:type="dxa"/>
            <w:tcBorders>
              <w:top w:val="single" w:sz="4" w:space="0" w:color="auto"/>
              <w:left w:val="single" w:sz="4" w:space="0" w:color="auto"/>
              <w:bottom w:val="single" w:sz="4" w:space="0" w:color="auto"/>
              <w:right w:val="single" w:sz="4" w:space="0" w:color="auto"/>
            </w:tcBorders>
            <w:vAlign w:val="center"/>
          </w:tcPr>
          <w:p w14:paraId="12228718" w14:textId="46E87897" w:rsidR="005C5040" w:rsidRPr="008F6866" w:rsidRDefault="005C5040" w:rsidP="009574BD">
            <w:pPr>
              <w:jc w:val="center"/>
              <w:rPr>
                <w:b/>
                <w:sz w:val="16"/>
                <w:szCs w:val="16"/>
              </w:rPr>
            </w:pPr>
            <w:r w:rsidRPr="008F6866">
              <w:rPr>
                <w:b/>
                <w:sz w:val="16"/>
                <w:szCs w:val="16"/>
              </w:rPr>
              <w:t>2-7 Days</w:t>
            </w:r>
          </w:p>
        </w:tc>
        <w:tc>
          <w:tcPr>
            <w:tcW w:w="851" w:type="dxa"/>
            <w:tcBorders>
              <w:top w:val="single" w:sz="4" w:space="0" w:color="auto"/>
              <w:left w:val="single" w:sz="4" w:space="0" w:color="auto"/>
              <w:bottom w:val="single" w:sz="4" w:space="0" w:color="auto"/>
              <w:right w:val="single" w:sz="4" w:space="0" w:color="auto"/>
            </w:tcBorders>
            <w:vAlign w:val="center"/>
          </w:tcPr>
          <w:p w14:paraId="51A5558C" w14:textId="5F6716E4" w:rsidR="005C5040" w:rsidRPr="008F6866" w:rsidRDefault="005C5040" w:rsidP="009574BD">
            <w:pPr>
              <w:jc w:val="center"/>
              <w:rPr>
                <w:rFonts w:eastAsia="Arial Unicode MS"/>
                <w:b/>
                <w:sz w:val="16"/>
                <w:szCs w:val="16"/>
              </w:rPr>
            </w:pPr>
            <w:r w:rsidRPr="008F6866">
              <w:rPr>
                <w:b/>
                <w:sz w:val="16"/>
                <w:szCs w:val="16"/>
              </w:rPr>
              <w:t>8-14 Days</w:t>
            </w:r>
          </w:p>
        </w:tc>
        <w:tc>
          <w:tcPr>
            <w:tcW w:w="850" w:type="dxa"/>
            <w:tcBorders>
              <w:top w:val="single" w:sz="4" w:space="0" w:color="auto"/>
              <w:left w:val="single" w:sz="4" w:space="0" w:color="auto"/>
              <w:bottom w:val="single" w:sz="4" w:space="0" w:color="auto"/>
              <w:right w:val="single" w:sz="4" w:space="0" w:color="auto"/>
            </w:tcBorders>
            <w:vAlign w:val="center"/>
          </w:tcPr>
          <w:p w14:paraId="4ECFADAE" w14:textId="10E6181A" w:rsidR="005C5040" w:rsidRPr="008F6866" w:rsidRDefault="005C5040" w:rsidP="009574BD">
            <w:pPr>
              <w:jc w:val="center"/>
              <w:rPr>
                <w:rFonts w:eastAsia="Arial Unicode MS"/>
                <w:b/>
                <w:sz w:val="16"/>
                <w:szCs w:val="16"/>
              </w:rPr>
            </w:pPr>
            <w:r w:rsidRPr="008F6866">
              <w:rPr>
                <w:b/>
                <w:sz w:val="16"/>
                <w:szCs w:val="16"/>
              </w:rPr>
              <w:t>15-30 Days</w:t>
            </w:r>
          </w:p>
        </w:tc>
        <w:tc>
          <w:tcPr>
            <w:tcW w:w="851" w:type="dxa"/>
            <w:tcBorders>
              <w:top w:val="single" w:sz="4" w:space="0" w:color="auto"/>
              <w:left w:val="single" w:sz="4" w:space="0" w:color="auto"/>
              <w:bottom w:val="single" w:sz="4" w:space="0" w:color="auto"/>
              <w:right w:val="single" w:sz="4" w:space="0" w:color="auto"/>
            </w:tcBorders>
            <w:vAlign w:val="center"/>
          </w:tcPr>
          <w:p w14:paraId="1046D38A" w14:textId="77777777" w:rsidR="005C5040" w:rsidRPr="008F6866" w:rsidRDefault="005C5040" w:rsidP="009574BD">
            <w:pPr>
              <w:jc w:val="center"/>
              <w:rPr>
                <w:b/>
                <w:sz w:val="16"/>
                <w:szCs w:val="16"/>
              </w:rPr>
            </w:pPr>
            <w:r w:rsidRPr="008F6866">
              <w:rPr>
                <w:b/>
                <w:sz w:val="16"/>
                <w:szCs w:val="16"/>
              </w:rPr>
              <w:t>31 Days to             2 Months</w:t>
            </w:r>
          </w:p>
        </w:tc>
        <w:tc>
          <w:tcPr>
            <w:tcW w:w="850" w:type="dxa"/>
            <w:tcBorders>
              <w:top w:val="single" w:sz="4" w:space="0" w:color="auto"/>
              <w:left w:val="single" w:sz="4" w:space="0" w:color="auto"/>
              <w:bottom w:val="single" w:sz="4" w:space="0" w:color="auto"/>
              <w:right w:val="single" w:sz="4" w:space="0" w:color="auto"/>
            </w:tcBorders>
          </w:tcPr>
          <w:p w14:paraId="082E1B1F" w14:textId="77777777" w:rsidR="005C5040" w:rsidRPr="008F6866" w:rsidRDefault="005C5040" w:rsidP="009574BD">
            <w:pPr>
              <w:jc w:val="center"/>
              <w:rPr>
                <w:b/>
                <w:sz w:val="16"/>
                <w:szCs w:val="16"/>
              </w:rPr>
            </w:pPr>
            <w:r w:rsidRPr="008F6866">
              <w:rPr>
                <w:b/>
                <w:sz w:val="16"/>
                <w:szCs w:val="16"/>
              </w:rPr>
              <w:t>Over 2 Months to 3 Months</w:t>
            </w:r>
          </w:p>
        </w:tc>
        <w:tc>
          <w:tcPr>
            <w:tcW w:w="851" w:type="dxa"/>
            <w:tcBorders>
              <w:top w:val="single" w:sz="4" w:space="0" w:color="auto"/>
              <w:left w:val="single" w:sz="4" w:space="0" w:color="auto"/>
              <w:bottom w:val="single" w:sz="4" w:space="0" w:color="auto"/>
              <w:right w:val="single" w:sz="4" w:space="0" w:color="auto"/>
            </w:tcBorders>
            <w:vAlign w:val="center"/>
          </w:tcPr>
          <w:p w14:paraId="6BD31A66" w14:textId="663746CE" w:rsidR="005C5040" w:rsidRPr="008F6866" w:rsidRDefault="005C5040" w:rsidP="009574BD">
            <w:pPr>
              <w:jc w:val="center"/>
              <w:rPr>
                <w:b/>
                <w:sz w:val="16"/>
                <w:szCs w:val="16"/>
              </w:rPr>
            </w:pPr>
            <w:r w:rsidRPr="008F6866">
              <w:rPr>
                <w:b/>
                <w:sz w:val="16"/>
                <w:szCs w:val="16"/>
              </w:rPr>
              <w:t>Over 3 Months to 6 Months</w:t>
            </w:r>
          </w:p>
        </w:tc>
        <w:tc>
          <w:tcPr>
            <w:tcW w:w="850" w:type="dxa"/>
            <w:tcBorders>
              <w:top w:val="single" w:sz="4" w:space="0" w:color="auto"/>
              <w:left w:val="single" w:sz="4" w:space="0" w:color="auto"/>
              <w:bottom w:val="single" w:sz="4" w:space="0" w:color="auto"/>
              <w:right w:val="single" w:sz="4" w:space="0" w:color="auto"/>
            </w:tcBorders>
            <w:vAlign w:val="center"/>
          </w:tcPr>
          <w:p w14:paraId="1CA8A65B" w14:textId="77777777" w:rsidR="005C5040" w:rsidRPr="008F6866" w:rsidRDefault="005C5040" w:rsidP="009574BD">
            <w:pPr>
              <w:jc w:val="center"/>
              <w:rPr>
                <w:rFonts w:eastAsia="Arial Unicode MS"/>
                <w:b/>
                <w:sz w:val="16"/>
                <w:szCs w:val="16"/>
              </w:rPr>
            </w:pPr>
            <w:r w:rsidRPr="008F6866">
              <w:rPr>
                <w:b/>
                <w:sz w:val="16"/>
                <w:szCs w:val="16"/>
              </w:rPr>
              <w:t>Over 6 Months to 1 Year</w:t>
            </w:r>
          </w:p>
        </w:tc>
        <w:tc>
          <w:tcPr>
            <w:tcW w:w="851" w:type="dxa"/>
            <w:tcBorders>
              <w:top w:val="single" w:sz="4" w:space="0" w:color="auto"/>
              <w:left w:val="single" w:sz="4" w:space="0" w:color="auto"/>
              <w:bottom w:val="single" w:sz="4" w:space="0" w:color="auto"/>
              <w:right w:val="single" w:sz="4" w:space="0" w:color="auto"/>
            </w:tcBorders>
            <w:vAlign w:val="center"/>
          </w:tcPr>
          <w:p w14:paraId="0D02A8BC" w14:textId="77777777" w:rsidR="005C5040" w:rsidRPr="008F6866" w:rsidRDefault="005C5040" w:rsidP="009574BD">
            <w:pPr>
              <w:jc w:val="center"/>
              <w:rPr>
                <w:rFonts w:eastAsia="Arial Unicode MS"/>
                <w:b/>
                <w:sz w:val="16"/>
                <w:szCs w:val="16"/>
              </w:rPr>
            </w:pPr>
            <w:r w:rsidRPr="008F6866">
              <w:rPr>
                <w:b/>
                <w:sz w:val="16"/>
                <w:szCs w:val="16"/>
              </w:rPr>
              <w:t>Over 1 Year to 3 Years</w:t>
            </w:r>
          </w:p>
        </w:tc>
        <w:tc>
          <w:tcPr>
            <w:tcW w:w="708" w:type="dxa"/>
            <w:tcBorders>
              <w:top w:val="single" w:sz="4" w:space="0" w:color="auto"/>
              <w:left w:val="single" w:sz="4" w:space="0" w:color="auto"/>
              <w:bottom w:val="single" w:sz="4" w:space="0" w:color="auto"/>
              <w:right w:val="single" w:sz="4" w:space="0" w:color="auto"/>
            </w:tcBorders>
            <w:vAlign w:val="center"/>
          </w:tcPr>
          <w:p w14:paraId="3A0FE633" w14:textId="77777777" w:rsidR="005C5040" w:rsidRPr="008F6866" w:rsidRDefault="005C5040" w:rsidP="009574BD">
            <w:pPr>
              <w:jc w:val="center"/>
              <w:rPr>
                <w:b/>
                <w:sz w:val="16"/>
                <w:szCs w:val="16"/>
              </w:rPr>
            </w:pPr>
            <w:r w:rsidRPr="008F6866">
              <w:rPr>
                <w:b/>
                <w:sz w:val="16"/>
                <w:szCs w:val="16"/>
              </w:rPr>
              <w:t>Over 3 Years to 5 Years</w:t>
            </w:r>
          </w:p>
        </w:tc>
        <w:tc>
          <w:tcPr>
            <w:tcW w:w="709" w:type="dxa"/>
            <w:tcBorders>
              <w:top w:val="single" w:sz="4" w:space="0" w:color="auto"/>
              <w:left w:val="single" w:sz="4" w:space="0" w:color="auto"/>
              <w:bottom w:val="single" w:sz="4" w:space="0" w:color="auto"/>
              <w:right w:val="single" w:sz="4" w:space="0" w:color="auto"/>
            </w:tcBorders>
            <w:vAlign w:val="center"/>
          </w:tcPr>
          <w:p w14:paraId="0EFF0B52" w14:textId="77777777" w:rsidR="005C5040" w:rsidRPr="008F6866" w:rsidRDefault="005C5040" w:rsidP="009574BD">
            <w:pPr>
              <w:jc w:val="center"/>
              <w:rPr>
                <w:b/>
                <w:sz w:val="16"/>
                <w:szCs w:val="16"/>
              </w:rPr>
            </w:pPr>
            <w:r w:rsidRPr="008F6866">
              <w:rPr>
                <w:b/>
                <w:sz w:val="16"/>
                <w:szCs w:val="16"/>
              </w:rPr>
              <w:t>Over      5 Years</w:t>
            </w:r>
          </w:p>
        </w:tc>
        <w:tc>
          <w:tcPr>
            <w:tcW w:w="956" w:type="dxa"/>
            <w:tcBorders>
              <w:top w:val="single" w:sz="4" w:space="0" w:color="auto"/>
              <w:left w:val="single" w:sz="4" w:space="0" w:color="auto"/>
              <w:bottom w:val="single" w:sz="4" w:space="0" w:color="auto"/>
            </w:tcBorders>
            <w:vAlign w:val="center"/>
          </w:tcPr>
          <w:p w14:paraId="696205A1" w14:textId="77777777" w:rsidR="005C5040" w:rsidRPr="008F6866" w:rsidRDefault="005C5040" w:rsidP="009574BD">
            <w:pPr>
              <w:jc w:val="center"/>
              <w:rPr>
                <w:rFonts w:eastAsia="Arial Unicode MS"/>
                <w:b/>
                <w:sz w:val="16"/>
                <w:szCs w:val="16"/>
              </w:rPr>
            </w:pPr>
            <w:r w:rsidRPr="008F6866">
              <w:rPr>
                <w:b/>
                <w:sz w:val="16"/>
                <w:szCs w:val="16"/>
              </w:rPr>
              <w:t>Total</w:t>
            </w:r>
          </w:p>
        </w:tc>
      </w:tr>
      <w:tr w:rsidR="005C5040" w:rsidRPr="001B4A94" w14:paraId="541C599F" w14:textId="77777777" w:rsidTr="005C5040">
        <w:trPr>
          <w:trHeight w:val="328"/>
        </w:trPr>
        <w:tc>
          <w:tcPr>
            <w:tcW w:w="1135" w:type="dxa"/>
            <w:tcBorders>
              <w:top w:val="single" w:sz="4" w:space="0" w:color="auto"/>
              <w:bottom w:val="single" w:sz="4" w:space="0" w:color="auto"/>
              <w:right w:val="single" w:sz="4" w:space="0" w:color="auto"/>
            </w:tcBorders>
            <w:vAlign w:val="center"/>
          </w:tcPr>
          <w:p w14:paraId="4E1F8699" w14:textId="77777777" w:rsidR="005C5040" w:rsidRPr="008F6866" w:rsidRDefault="005C5040" w:rsidP="009574BD">
            <w:pPr>
              <w:jc w:val="center"/>
              <w:rPr>
                <w:sz w:val="16"/>
                <w:szCs w:val="16"/>
              </w:rPr>
            </w:pPr>
            <w:r w:rsidRPr="008F6866">
              <w:rPr>
                <w:sz w:val="16"/>
                <w:szCs w:val="16"/>
              </w:rPr>
              <w:t>Loans &amp; Advances</w:t>
            </w:r>
          </w:p>
        </w:tc>
        <w:tc>
          <w:tcPr>
            <w:tcW w:w="851" w:type="dxa"/>
            <w:tcBorders>
              <w:top w:val="single" w:sz="4" w:space="0" w:color="auto"/>
              <w:bottom w:val="single" w:sz="4" w:space="0" w:color="auto"/>
              <w:right w:val="single" w:sz="4" w:space="0" w:color="auto"/>
            </w:tcBorders>
            <w:vAlign w:val="bottom"/>
          </w:tcPr>
          <w:p w14:paraId="2A7B726D" w14:textId="11BFE4FD" w:rsidR="005C5040" w:rsidRPr="00B80343" w:rsidRDefault="005C5040" w:rsidP="009574BD">
            <w:pPr>
              <w:jc w:val="right"/>
              <w:rPr>
                <w:sz w:val="16"/>
                <w:szCs w:val="16"/>
              </w:rPr>
            </w:pPr>
            <w:r w:rsidRPr="00B80343">
              <w:rPr>
                <w:sz w:val="16"/>
                <w:szCs w:val="16"/>
              </w:rPr>
              <w:t xml:space="preserve">            </w:t>
            </w:r>
            <w:r w:rsidR="00DE2C60">
              <w:rPr>
                <w:sz w:val="16"/>
                <w:szCs w:val="16"/>
              </w:rPr>
              <w:t>51</w:t>
            </w:r>
            <w:r w:rsidRPr="00B80343">
              <w:rPr>
                <w:sz w:val="16"/>
                <w:szCs w:val="16"/>
              </w:rPr>
              <w:t>,</w:t>
            </w:r>
            <w:r w:rsidR="00DE2C60">
              <w:rPr>
                <w:sz w:val="16"/>
                <w:szCs w:val="16"/>
              </w:rPr>
              <w:t>779</w:t>
            </w:r>
            <w:r w:rsidR="00DE2C60" w:rsidRPr="00B80343">
              <w:rPr>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5CE18714" w14:textId="754EE9A6" w:rsidR="005C5040" w:rsidRPr="00B80343" w:rsidRDefault="00DE2C60" w:rsidP="009574BD">
            <w:pPr>
              <w:jc w:val="right"/>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bottom"/>
          </w:tcPr>
          <w:p w14:paraId="5307EF0B" w14:textId="485F3D87" w:rsidR="005C5040" w:rsidRPr="00B80343" w:rsidRDefault="005C5040" w:rsidP="009574BD">
            <w:pPr>
              <w:jc w:val="right"/>
              <w:rPr>
                <w:sz w:val="16"/>
                <w:szCs w:val="16"/>
              </w:rPr>
            </w:pPr>
            <w:r w:rsidRPr="00B80343">
              <w:rPr>
                <w:sz w:val="16"/>
                <w:szCs w:val="16"/>
              </w:rPr>
              <w:t xml:space="preserve">       </w:t>
            </w:r>
            <w:r w:rsidR="00DE2C60">
              <w:rPr>
                <w:sz w:val="16"/>
                <w:szCs w:val="16"/>
              </w:rPr>
              <w:t>316</w:t>
            </w:r>
            <w:r w:rsidRPr="00B80343">
              <w:rPr>
                <w:sz w:val="16"/>
                <w:szCs w:val="16"/>
              </w:rPr>
              <w:t>,</w:t>
            </w:r>
            <w:r w:rsidR="00DE2C60">
              <w:rPr>
                <w:sz w:val="16"/>
                <w:szCs w:val="16"/>
              </w:rPr>
              <w:t>089</w:t>
            </w:r>
            <w:r w:rsidR="00DE2C60" w:rsidRPr="00B80343">
              <w:rPr>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726A5E99" w14:textId="122268C2" w:rsidR="005C5040" w:rsidRPr="00B80343" w:rsidRDefault="005C5040" w:rsidP="009574BD">
            <w:pPr>
              <w:jc w:val="right"/>
              <w:rPr>
                <w:sz w:val="16"/>
                <w:szCs w:val="16"/>
              </w:rPr>
            </w:pPr>
            <w:r w:rsidRPr="00B80343">
              <w:rPr>
                <w:sz w:val="16"/>
                <w:szCs w:val="16"/>
              </w:rPr>
              <w:t xml:space="preserve">       </w:t>
            </w:r>
            <w:r w:rsidR="00DE2C60">
              <w:rPr>
                <w:sz w:val="16"/>
                <w:szCs w:val="16"/>
              </w:rPr>
              <w:t>44</w:t>
            </w:r>
            <w:r w:rsidRPr="00B80343">
              <w:rPr>
                <w:sz w:val="16"/>
                <w:szCs w:val="16"/>
              </w:rPr>
              <w:t>,</w:t>
            </w:r>
            <w:r w:rsidR="00DE2C60">
              <w:rPr>
                <w:sz w:val="16"/>
                <w:szCs w:val="16"/>
              </w:rPr>
              <w:t>093</w:t>
            </w:r>
            <w:r w:rsidRPr="00B80343">
              <w:rPr>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vAlign w:val="bottom"/>
          </w:tcPr>
          <w:p w14:paraId="75BBF91B" w14:textId="33F5D197" w:rsidR="005C5040" w:rsidRPr="00B80343" w:rsidRDefault="005C5040" w:rsidP="009574BD">
            <w:pPr>
              <w:jc w:val="right"/>
              <w:rPr>
                <w:sz w:val="16"/>
                <w:szCs w:val="16"/>
              </w:rPr>
            </w:pPr>
            <w:r w:rsidRPr="00B80343">
              <w:rPr>
                <w:sz w:val="16"/>
                <w:szCs w:val="16"/>
              </w:rPr>
              <w:t xml:space="preserve">          </w:t>
            </w:r>
            <w:r w:rsidR="00DE2C60">
              <w:rPr>
                <w:sz w:val="16"/>
                <w:szCs w:val="16"/>
              </w:rPr>
              <w:t>439</w:t>
            </w:r>
            <w:r w:rsidRPr="00B80343">
              <w:rPr>
                <w:sz w:val="16"/>
                <w:szCs w:val="16"/>
              </w:rPr>
              <w:t>,</w:t>
            </w:r>
            <w:r w:rsidR="00DE2C60">
              <w:rPr>
                <w:sz w:val="16"/>
                <w:szCs w:val="16"/>
              </w:rPr>
              <w:t>729</w:t>
            </w:r>
            <w:r w:rsidR="00DE2C60" w:rsidRPr="00B80343">
              <w:rPr>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475085CE" w14:textId="2367B31A" w:rsidR="005C5040" w:rsidRPr="00B80343" w:rsidRDefault="005C5040" w:rsidP="009574BD">
            <w:pPr>
              <w:jc w:val="right"/>
              <w:rPr>
                <w:sz w:val="16"/>
                <w:szCs w:val="16"/>
              </w:rPr>
            </w:pPr>
            <w:r w:rsidRPr="00B80343">
              <w:rPr>
                <w:sz w:val="16"/>
                <w:szCs w:val="16"/>
              </w:rPr>
              <w:t xml:space="preserve">         </w:t>
            </w:r>
            <w:r>
              <w:rPr>
                <w:sz w:val="16"/>
                <w:szCs w:val="16"/>
              </w:rPr>
              <w:t>1</w:t>
            </w:r>
            <w:r w:rsidRPr="00B80343">
              <w:rPr>
                <w:sz w:val="16"/>
                <w:szCs w:val="16"/>
              </w:rPr>
              <w:t>,</w:t>
            </w:r>
            <w:r w:rsidR="00DE2C60">
              <w:rPr>
                <w:sz w:val="16"/>
                <w:szCs w:val="16"/>
              </w:rPr>
              <w:t>099</w:t>
            </w:r>
            <w:r w:rsidRPr="00B80343">
              <w:rPr>
                <w:sz w:val="16"/>
                <w:szCs w:val="16"/>
              </w:rPr>
              <w:t>,</w:t>
            </w:r>
            <w:r w:rsidR="00DE2C60">
              <w:rPr>
                <w:sz w:val="16"/>
                <w:szCs w:val="16"/>
              </w:rPr>
              <w:t>818</w:t>
            </w:r>
            <w:r w:rsidR="00DE2C60" w:rsidRPr="00B80343">
              <w:rPr>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vAlign w:val="bottom"/>
          </w:tcPr>
          <w:p w14:paraId="772A198F" w14:textId="4E6A055D" w:rsidR="005C5040" w:rsidRPr="00B80343" w:rsidRDefault="005C5040" w:rsidP="009574BD">
            <w:pPr>
              <w:jc w:val="right"/>
              <w:rPr>
                <w:sz w:val="16"/>
                <w:szCs w:val="16"/>
              </w:rPr>
            </w:pPr>
            <w:r w:rsidRPr="00B80343">
              <w:rPr>
                <w:sz w:val="16"/>
                <w:szCs w:val="16"/>
              </w:rPr>
              <w:t xml:space="preserve">               </w:t>
            </w:r>
            <w:r w:rsidR="00DE2C60">
              <w:rPr>
                <w:sz w:val="16"/>
                <w:szCs w:val="16"/>
              </w:rPr>
              <w:t>700</w:t>
            </w:r>
            <w:r w:rsidRPr="00B80343">
              <w:rPr>
                <w:sz w:val="16"/>
                <w:szCs w:val="16"/>
              </w:rPr>
              <w:t>,</w:t>
            </w:r>
            <w:r w:rsidR="00DE2C60">
              <w:rPr>
                <w:sz w:val="16"/>
                <w:szCs w:val="16"/>
              </w:rPr>
              <w:t>672</w:t>
            </w:r>
            <w:r w:rsidR="00DE2C60" w:rsidRPr="00B80343">
              <w:rPr>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2523681B" w14:textId="23CD7720" w:rsidR="005C5040" w:rsidRPr="00B80343" w:rsidRDefault="005C5040" w:rsidP="009574BD">
            <w:pPr>
              <w:jc w:val="right"/>
              <w:rPr>
                <w:sz w:val="16"/>
                <w:szCs w:val="16"/>
              </w:rPr>
            </w:pPr>
            <w:r w:rsidRPr="00B80343">
              <w:rPr>
                <w:sz w:val="16"/>
                <w:szCs w:val="16"/>
              </w:rPr>
              <w:t xml:space="preserve">             </w:t>
            </w:r>
            <w:r w:rsidR="00DE2C60">
              <w:rPr>
                <w:sz w:val="16"/>
                <w:szCs w:val="16"/>
              </w:rPr>
              <w:t>2</w:t>
            </w:r>
            <w:r>
              <w:rPr>
                <w:sz w:val="16"/>
                <w:szCs w:val="16"/>
              </w:rPr>
              <w:t>,</w:t>
            </w:r>
            <w:r w:rsidR="00DE2C60">
              <w:rPr>
                <w:sz w:val="16"/>
                <w:szCs w:val="16"/>
              </w:rPr>
              <w:t>841</w:t>
            </w:r>
            <w:r>
              <w:rPr>
                <w:sz w:val="16"/>
                <w:szCs w:val="16"/>
              </w:rPr>
              <w:t>,</w:t>
            </w:r>
            <w:r w:rsidR="00DE2C60">
              <w:rPr>
                <w:sz w:val="16"/>
                <w:szCs w:val="16"/>
              </w:rPr>
              <w:t>344</w:t>
            </w:r>
            <w:r w:rsidR="00DE2C60" w:rsidRPr="00B80343">
              <w:rPr>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vAlign w:val="bottom"/>
          </w:tcPr>
          <w:p w14:paraId="5A5D8FAD" w14:textId="72ED6EA8" w:rsidR="005C5040" w:rsidRPr="00B80343" w:rsidRDefault="005C5040" w:rsidP="009574BD">
            <w:pPr>
              <w:jc w:val="right"/>
              <w:rPr>
                <w:sz w:val="16"/>
                <w:szCs w:val="16"/>
              </w:rPr>
            </w:pPr>
            <w:r w:rsidRPr="00B80343">
              <w:rPr>
                <w:sz w:val="16"/>
                <w:szCs w:val="16"/>
              </w:rPr>
              <w:t xml:space="preserve">      1,</w:t>
            </w:r>
            <w:r w:rsidR="00DE2C60">
              <w:rPr>
                <w:sz w:val="16"/>
                <w:szCs w:val="16"/>
              </w:rPr>
              <w:t>755</w:t>
            </w:r>
            <w:r w:rsidRPr="00B80343">
              <w:rPr>
                <w:sz w:val="16"/>
                <w:szCs w:val="16"/>
              </w:rPr>
              <w:t>,</w:t>
            </w:r>
            <w:r w:rsidR="00DE2C60">
              <w:rPr>
                <w:sz w:val="16"/>
                <w:szCs w:val="16"/>
              </w:rPr>
              <w:t>376</w:t>
            </w:r>
            <w:r w:rsidR="00DE2C60" w:rsidRPr="00B80343">
              <w:rPr>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vAlign w:val="bottom"/>
          </w:tcPr>
          <w:p w14:paraId="525DBEB5" w14:textId="3B15889D" w:rsidR="005C5040" w:rsidRPr="00B80343" w:rsidRDefault="005C5040" w:rsidP="009574BD">
            <w:pPr>
              <w:jc w:val="right"/>
              <w:rPr>
                <w:sz w:val="16"/>
                <w:szCs w:val="16"/>
              </w:rPr>
            </w:pPr>
            <w:r w:rsidRPr="00B80343">
              <w:rPr>
                <w:sz w:val="16"/>
                <w:szCs w:val="16"/>
              </w:rPr>
              <w:t xml:space="preserve">      </w:t>
            </w:r>
            <w:r w:rsidR="00DE2C60">
              <w:rPr>
                <w:sz w:val="16"/>
                <w:szCs w:val="16"/>
              </w:rPr>
              <w:t>5</w:t>
            </w:r>
            <w:r w:rsidRPr="00B80343">
              <w:rPr>
                <w:sz w:val="16"/>
                <w:szCs w:val="16"/>
              </w:rPr>
              <w:t>,</w:t>
            </w:r>
            <w:r w:rsidR="00DE2C60">
              <w:rPr>
                <w:sz w:val="16"/>
                <w:szCs w:val="16"/>
              </w:rPr>
              <w:t>376</w:t>
            </w:r>
            <w:r w:rsidR="00DE2C60" w:rsidRPr="00B80343">
              <w:rPr>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vAlign w:val="bottom"/>
          </w:tcPr>
          <w:p w14:paraId="7169FDF1" w14:textId="1E51326C" w:rsidR="005C5040" w:rsidRPr="00B80343" w:rsidRDefault="005C5040" w:rsidP="009574BD">
            <w:pPr>
              <w:jc w:val="right"/>
              <w:rPr>
                <w:sz w:val="16"/>
                <w:szCs w:val="16"/>
              </w:rPr>
            </w:pPr>
            <w:r w:rsidRPr="00B80343">
              <w:rPr>
                <w:sz w:val="16"/>
                <w:szCs w:val="16"/>
              </w:rPr>
              <w:t xml:space="preserve">             </w:t>
            </w:r>
            <w:r w:rsidR="00DE2C60">
              <w:rPr>
                <w:sz w:val="16"/>
                <w:szCs w:val="16"/>
              </w:rPr>
              <w:t>54</w:t>
            </w:r>
            <w:r w:rsidRPr="00B80343">
              <w:rPr>
                <w:sz w:val="16"/>
                <w:szCs w:val="16"/>
              </w:rPr>
              <w:t>,</w:t>
            </w:r>
            <w:r w:rsidR="00DE2C60" w:rsidRPr="00B80343">
              <w:rPr>
                <w:sz w:val="16"/>
                <w:szCs w:val="16"/>
              </w:rPr>
              <w:t>9</w:t>
            </w:r>
            <w:r w:rsidR="00DE2C60">
              <w:rPr>
                <w:sz w:val="16"/>
                <w:szCs w:val="16"/>
              </w:rPr>
              <w:t>6</w:t>
            </w:r>
            <w:r w:rsidR="00E43967">
              <w:rPr>
                <w:sz w:val="16"/>
                <w:szCs w:val="16"/>
              </w:rPr>
              <w:t>4</w:t>
            </w:r>
            <w:r w:rsidR="00DE2C60" w:rsidRPr="00B80343">
              <w:rPr>
                <w:sz w:val="16"/>
                <w:szCs w:val="16"/>
              </w:rPr>
              <w:t xml:space="preserve"> </w:t>
            </w:r>
          </w:p>
        </w:tc>
        <w:tc>
          <w:tcPr>
            <w:tcW w:w="956" w:type="dxa"/>
            <w:tcBorders>
              <w:top w:val="single" w:sz="4" w:space="0" w:color="auto"/>
              <w:left w:val="single" w:sz="4" w:space="0" w:color="auto"/>
              <w:bottom w:val="single" w:sz="4" w:space="0" w:color="auto"/>
            </w:tcBorders>
            <w:vAlign w:val="bottom"/>
          </w:tcPr>
          <w:p w14:paraId="0A3FFEBD" w14:textId="7100798A" w:rsidR="005C5040" w:rsidRPr="00B80343" w:rsidRDefault="005C5040" w:rsidP="009574BD">
            <w:pPr>
              <w:jc w:val="right"/>
              <w:rPr>
                <w:sz w:val="16"/>
                <w:szCs w:val="16"/>
              </w:rPr>
            </w:pPr>
            <w:r w:rsidRPr="00B80343">
              <w:rPr>
                <w:sz w:val="16"/>
                <w:szCs w:val="16"/>
              </w:rPr>
              <w:t xml:space="preserve">       </w:t>
            </w:r>
            <w:r w:rsidR="00DE2C60">
              <w:rPr>
                <w:sz w:val="16"/>
                <w:szCs w:val="16"/>
              </w:rPr>
              <w:t>7</w:t>
            </w:r>
            <w:r w:rsidRPr="00B80343">
              <w:rPr>
                <w:sz w:val="16"/>
                <w:szCs w:val="16"/>
              </w:rPr>
              <w:t>,</w:t>
            </w:r>
            <w:r w:rsidR="00DE2C60">
              <w:rPr>
                <w:sz w:val="16"/>
                <w:szCs w:val="16"/>
              </w:rPr>
              <w:t>309</w:t>
            </w:r>
            <w:r w:rsidRPr="00B80343">
              <w:rPr>
                <w:sz w:val="16"/>
                <w:szCs w:val="16"/>
              </w:rPr>
              <w:t>,</w:t>
            </w:r>
            <w:r w:rsidR="00DE2C60">
              <w:rPr>
                <w:sz w:val="16"/>
                <w:szCs w:val="16"/>
              </w:rPr>
              <w:t>240</w:t>
            </w:r>
            <w:r w:rsidR="00DE2C60" w:rsidRPr="00B80343">
              <w:rPr>
                <w:sz w:val="16"/>
                <w:szCs w:val="16"/>
              </w:rPr>
              <w:t xml:space="preserve"> </w:t>
            </w:r>
          </w:p>
        </w:tc>
      </w:tr>
      <w:tr w:rsidR="005C5040" w:rsidRPr="001B4A94" w14:paraId="35F6C5E1" w14:textId="77777777" w:rsidTr="005C5040">
        <w:trPr>
          <w:trHeight w:val="328"/>
        </w:trPr>
        <w:tc>
          <w:tcPr>
            <w:tcW w:w="1135" w:type="dxa"/>
            <w:tcBorders>
              <w:top w:val="single" w:sz="4" w:space="0" w:color="auto"/>
              <w:bottom w:val="single" w:sz="4" w:space="0" w:color="auto"/>
              <w:right w:val="single" w:sz="4" w:space="0" w:color="auto"/>
            </w:tcBorders>
            <w:vAlign w:val="center"/>
          </w:tcPr>
          <w:p w14:paraId="5EA7151B" w14:textId="77777777" w:rsidR="005C5040" w:rsidRPr="008F6866" w:rsidRDefault="005C5040" w:rsidP="009574BD">
            <w:pPr>
              <w:jc w:val="center"/>
              <w:rPr>
                <w:sz w:val="16"/>
                <w:szCs w:val="16"/>
              </w:rPr>
            </w:pPr>
            <w:r w:rsidRPr="008F6866">
              <w:rPr>
                <w:sz w:val="16"/>
                <w:szCs w:val="16"/>
              </w:rPr>
              <w:t>Investment / Securities</w:t>
            </w:r>
          </w:p>
        </w:tc>
        <w:tc>
          <w:tcPr>
            <w:tcW w:w="851" w:type="dxa"/>
            <w:tcBorders>
              <w:top w:val="single" w:sz="4" w:space="0" w:color="auto"/>
              <w:bottom w:val="single" w:sz="4" w:space="0" w:color="auto"/>
              <w:right w:val="single" w:sz="4" w:space="0" w:color="auto"/>
            </w:tcBorders>
            <w:vAlign w:val="bottom"/>
          </w:tcPr>
          <w:p w14:paraId="4AE19FAC" w14:textId="2D4F3329" w:rsidR="005C5040" w:rsidRPr="00B80343" w:rsidRDefault="005C5040" w:rsidP="009574BD">
            <w:pPr>
              <w:jc w:val="right"/>
              <w:rPr>
                <w:sz w:val="16"/>
                <w:szCs w:val="16"/>
              </w:rPr>
            </w:pPr>
            <w:r w:rsidRPr="00B80343">
              <w:rPr>
                <w:sz w:val="16"/>
              </w:rPr>
              <w:t xml:space="preserve">       2</w:t>
            </w:r>
            <w:r w:rsidR="00DE2C60">
              <w:rPr>
                <w:sz w:val="16"/>
              </w:rPr>
              <w:t>7</w:t>
            </w:r>
            <w:r w:rsidRPr="00B80343">
              <w:rPr>
                <w:sz w:val="16"/>
              </w:rPr>
              <w:t>,</w:t>
            </w:r>
            <w:r w:rsidR="00DE2C60">
              <w:rPr>
                <w:sz w:val="16"/>
              </w:rPr>
              <w:t>621</w:t>
            </w:r>
            <w:r w:rsidRPr="00B80343">
              <w:rPr>
                <w:sz w:val="16"/>
              </w:rPr>
              <w:t>,</w:t>
            </w:r>
            <w:r w:rsidR="00DE2C60">
              <w:rPr>
                <w:sz w:val="16"/>
              </w:rPr>
              <w:t>174</w:t>
            </w:r>
            <w:r w:rsidR="00DE2C60" w:rsidRPr="00B80343">
              <w:rPr>
                <w:sz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4CB774C8" w14:textId="05370B83" w:rsidR="005C5040" w:rsidRPr="00B80343" w:rsidRDefault="005C5040" w:rsidP="009574BD">
            <w:pPr>
              <w:jc w:val="right"/>
              <w:rPr>
                <w:sz w:val="16"/>
                <w:szCs w:val="16"/>
              </w:rPr>
            </w:pPr>
            <w:r w:rsidRPr="00B80343">
              <w:rPr>
                <w:sz w:val="16"/>
              </w:rPr>
              <w:t xml:space="preserve">       </w:t>
            </w:r>
            <w:r w:rsidR="00DE2C60">
              <w:rPr>
                <w:sz w:val="16"/>
              </w:rPr>
              <w:t>977</w:t>
            </w:r>
            <w:r w:rsidRPr="00B80343">
              <w:rPr>
                <w:sz w:val="16"/>
              </w:rPr>
              <w:t>,</w:t>
            </w:r>
            <w:r w:rsidR="00DE2C60">
              <w:rPr>
                <w:sz w:val="16"/>
              </w:rPr>
              <w:t>573</w:t>
            </w:r>
            <w:r w:rsidR="00DE2C60" w:rsidRPr="00B80343">
              <w:rPr>
                <w:sz w:val="16"/>
              </w:rPr>
              <w:t xml:space="preserve"> </w:t>
            </w:r>
          </w:p>
        </w:tc>
        <w:tc>
          <w:tcPr>
            <w:tcW w:w="851" w:type="dxa"/>
            <w:tcBorders>
              <w:top w:val="single" w:sz="4" w:space="0" w:color="auto"/>
              <w:left w:val="single" w:sz="4" w:space="0" w:color="auto"/>
              <w:bottom w:val="single" w:sz="4" w:space="0" w:color="auto"/>
              <w:right w:val="single" w:sz="4" w:space="0" w:color="auto"/>
            </w:tcBorders>
            <w:vAlign w:val="bottom"/>
          </w:tcPr>
          <w:p w14:paraId="3507FAB1" w14:textId="02C27270" w:rsidR="005C5040" w:rsidRPr="00B80343" w:rsidRDefault="005C5040" w:rsidP="009574BD">
            <w:pPr>
              <w:jc w:val="right"/>
              <w:rPr>
                <w:sz w:val="16"/>
                <w:szCs w:val="16"/>
              </w:rPr>
            </w:pPr>
            <w:r w:rsidRPr="00B80343">
              <w:rPr>
                <w:sz w:val="16"/>
              </w:rPr>
              <w:t xml:space="preserve">       </w:t>
            </w:r>
            <w:r w:rsidR="00DE2C60">
              <w:rPr>
                <w:sz w:val="16"/>
              </w:rPr>
              <w:t>812</w:t>
            </w:r>
            <w:r w:rsidRPr="00B80343">
              <w:rPr>
                <w:sz w:val="16"/>
              </w:rPr>
              <w:t>,</w:t>
            </w:r>
            <w:r w:rsidR="00DE2C60">
              <w:rPr>
                <w:sz w:val="16"/>
              </w:rPr>
              <w:t>729</w:t>
            </w:r>
            <w:r w:rsidR="00DE2C60" w:rsidRPr="00B80343">
              <w:rPr>
                <w:sz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0E293092" w14:textId="0D284BEB" w:rsidR="005C5040" w:rsidRPr="00B80343" w:rsidRDefault="005C5040" w:rsidP="009574BD">
            <w:pPr>
              <w:jc w:val="right"/>
              <w:rPr>
                <w:sz w:val="16"/>
                <w:szCs w:val="16"/>
              </w:rPr>
            </w:pPr>
            <w:r w:rsidRPr="00B80343">
              <w:rPr>
                <w:sz w:val="16"/>
              </w:rPr>
              <w:t xml:space="preserve">       1,</w:t>
            </w:r>
            <w:r w:rsidR="00DE2C60">
              <w:rPr>
                <w:sz w:val="16"/>
              </w:rPr>
              <w:t>843</w:t>
            </w:r>
            <w:r w:rsidRPr="00B80343">
              <w:rPr>
                <w:sz w:val="16"/>
              </w:rPr>
              <w:t>,</w:t>
            </w:r>
            <w:r w:rsidR="00DE2C60">
              <w:rPr>
                <w:sz w:val="16"/>
              </w:rPr>
              <w:t>335</w:t>
            </w:r>
            <w:r w:rsidR="00DE2C60" w:rsidRPr="00B80343">
              <w:rPr>
                <w:sz w:val="16"/>
              </w:rPr>
              <w:t xml:space="preserve"> </w:t>
            </w:r>
          </w:p>
        </w:tc>
        <w:tc>
          <w:tcPr>
            <w:tcW w:w="851" w:type="dxa"/>
            <w:tcBorders>
              <w:top w:val="single" w:sz="4" w:space="0" w:color="auto"/>
              <w:left w:val="single" w:sz="4" w:space="0" w:color="auto"/>
              <w:bottom w:val="single" w:sz="4" w:space="0" w:color="auto"/>
              <w:right w:val="single" w:sz="4" w:space="0" w:color="auto"/>
            </w:tcBorders>
            <w:vAlign w:val="bottom"/>
          </w:tcPr>
          <w:p w14:paraId="5D390377" w14:textId="01FF9680" w:rsidR="005C5040" w:rsidRPr="00B80343" w:rsidRDefault="005C5040" w:rsidP="009574BD">
            <w:pPr>
              <w:jc w:val="right"/>
              <w:rPr>
                <w:sz w:val="16"/>
                <w:szCs w:val="16"/>
              </w:rPr>
            </w:pPr>
            <w:r w:rsidRPr="00B80343">
              <w:rPr>
                <w:sz w:val="16"/>
              </w:rPr>
              <w:t xml:space="preserve">          </w:t>
            </w:r>
            <w:r w:rsidR="00DE2C60">
              <w:rPr>
                <w:sz w:val="16"/>
              </w:rPr>
              <w:t>507</w:t>
            </w:r>
            <w:r w:rsidRPr="00B80343">
              <w:rPr>
                <w:sz w:val="16"/>
              </w:rPr>
              <w:t>,</w:t>
            </w:r>
            <w:r w:rsidR="00DE2C60">
              <w:rPr>
                <w:sz w:val="16"/>
              </w:rPr>
              <w:t>632</w:t>
            </w:r>
            <w:r w:rsidR="00DE2C60" w:rsidRPr="00B80343">
              <w:rPr>
                <w:sz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6F46CF6F" w14:textId="14132CBE" w:rsidR="005C5040" w:rsidRPr="00B80343" w:rsidRDefault="005C5040" w:rsidP="009574BD">
            <w:pPr>
              <w:jc w:val="right"/>
              <w:rPr>
                <w:sz w:val="16"/>
                <w:szCs w:val="16"/>
              </w:rPr>
            </w:pPr>
            <w:r w:rsidRPr="00B80343">
              <w:rPr>
                <w:sz w:val="16"/>
              </w:rPr>
              <w:t xml:space="preserve">            </w:t>
            </w:r>
            <w:r w:rsidR="003375FA">
              <w:rPr>
                <w:sz w:val="16"/>
              </w:rPr>
              <w:t>807</w:t>
            </w:r>
            <w:r w:rsidRPr="00B80343">
              <w:rPr>
                <w:sz w:val="16"/>
              </w:rPr>
              <w:t>,</w:t>
            </w:r>
            <w:r w:rsidR="003375FA">
              <w:rPr>
                <w:sz w:val="16"/>
              </w:rPr>
              <w:t>493</w:t>
            </w:r>
            <w:r w:rsidR="003375FA" w:rsidRPr="00B80343">
              <w:rPr>
                <w:sz w:val="16"/>
              </w:rPr>
              <w:t xml:space="preserve"> </w:t>
            </w:r>
          </w:p>
        </w:tc>
        <w:tc>
          <w:tcPr>
            <w:tcW w:w="851" w:type="dxa"/>
            <w:tcBorders>
              <w:top w:val="single" w:sz="4" w:space="0" w:color="auto"/>
              <w:left w:val="single" w:sz="4" w:space="0" w:color="auto"/>
              <w:bottom w:val="single" w:sz="4" w:space="0" w:color="auto"/>
              <w:right w:val="single" w:sz="4" w:space="0" w:color="auto"/>
            </w:tcBorders>
            <w:vAlign w:val="bottom"/>
          </w:tcPr>
          <w:p w14:paraId="0A90C20C" w14:textId="54CA60CD" w:rsidR="005C5040" w:rsidRPr="00B80343" w:rsidRDefault="005C5040" w:rsidP="009574BD">
            <w:pPr>
              <w:jc w:val="right"/>
              <w:rPr>
                <w:sz w:val="16"/>
                <w:szCs w:val="16"/>
              </w:rPr>
            </w:pPr>
            <w:r w:rsidRPr="00B80343">
              <w:rPr>
                <w:sz w:val="16"/>
              </w:rPr>
              <w:t xml:space="preserve">            </w:t>
            </w:r>
            <w:r w:rsidR="003375FA">
              <w:rPr>
                <w:sz w:val="16"/>
              </w:rPr>
              <w:t>732</w:t>
            </w:r>
            <w:r w:rsidRPr="00B80343">
              <w:rPr>
                <w:sz w:val="16"/>
              </w:rPr>
              <w:t>,</w:t>
            </w:r>
            <w:r>
              <w:rPr>
                <w:sz w:val="16"/>
              </w:rPr>
              <w:t>1</w:t>
            </w:r>
            <w:r w:rsidR="003375FA">
              <w:rPr>
                <w:sz w:val="16"/>
              </w:rPr>
              <w:t>6</w:t>
            </w:r>
            <w:r>
              <w:rPr>
                <w:sz w:val="16"/>
              </w:rPr>
              <w:t>8</w:t>
            </w:r>
            <w:r w:rsidRPr="00B80343">
              <w:rPr>
                <w:sz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6E710F69" w14:textId="39B8D34E" w:rsidR="005C5040" w:rsidRPr="00B80343" w:rsidRDefault="005C5040" w:rsidP="009574BD">
            <w:pPr>
              <w:jc w:val="right"/>
              <w:rPr>
                <w:sz w:val="16"/>
                <w:szCs w:val="16"/>
              </w:rPr>
            </w:pPr>
            <w:r w:rsidRPr="00B80343">
              <w:rPr>
                <w:sz w:val="16"/>
              </w:rPr>
              <w:t xml:space="preserve">                  </w:t>
            </w:r>
            <w:r w:rsidR="003375FA">
              <w:rPr>
                <w:sz w:val="16"/>
              </w:rPr>
              <w:t>203</w:t>
            </w:r>
            <w:r>
              <w:rPr>
                <w:sz w:val="16"/>
              </w:rPr>
              <w:t>,</w:t>
            </w:r>
            <w:r w:rsidR="003375FA">
              <w:rPr>
                <w:sz w:val="16"/>
              </w:rPr>
              <w:t>961</w:t>
            </w:r>
            <w:r w:rsidR="003375FA" w:rsidRPr="00B80343">
              <w:rPr>
                <w:sz w:val="16"/>
              </w:rPr>
              <w:t xml:space="preserve">   </w:t>
            </w:r>
          </w:p>
        </w:tc>
        <w:tc>
          <w:tcPr>
            <w:tcW w:w="851" w:type="dxa"/>
            <w:tcBorders>
              <w:top w:val="single" w:sz="4" w:space="0" w:color="auto"/>
              <w:left w:val="single" w:sz="4" w:space="0" w:color="auto"/>
              <w:bottom w:val="single" w:sz="4" w:space="0" w:color="auto"/>
              <w:right w:val="single" w:sz="4" w:space="0" w:color="auto"/>
            </w:tcBorders>
            <w:vAlign w:val="bottom"/>
          </w:tcPr>
          <w:p w14:paraId="0269332C" w14:textId="5C04D0BA" w:rsidR="005C5040" w:rsidRPr="00B80343" w:rsidRDefault="005C5040" w:rsidP="009574BD">
            <w:pPr>
              <w:jc w:val="right"/>
              <w:rPr>
                <w:sz w:val="16"/>
                <w:szCs w:val="16"/>
              </w:rPr>
            </w:pPr>
            <w:r w:rsidRPr="00B80343">
              <w:rPr>
                <w:sz w:val="16"/>
              </w:rPr>
              <w:t xml:space="preserve">         </w:t>
            </w:r>
            <w:r w:rsidR="003375FA">
              <w:rPr>
                <w:sz w:val="16"/>
              </w:rPr>
              <w:t>101</w:t>
            </w:r>
            <w:r w:rsidRPr="00B80343">
              <w:rPr>
                <w:sz w:val="16"/>
              </w:rPr>
              <w:t>,</w:t>
            </w:r>
            <w:r w:rsidR="003375FA">
              <w:rPr>
                <w:sz w:val="16"/>
              </w:rPr>
              <w:t>636</w:t>
            </w:r>
            <w:r w:rsidR="003375FA" w:rsidRPr="00B80343">
              <w:rPr>
                <w:sz w:val="16"/>
              </w:rPr>
              <w:t xml:space="preserve"> </w:t>
            </w:r>
          </w:p>
        </w:tc>
        <w:tc>
          <w:tcPr>
            <w:tcW w:w="708" w:type="dxa"/>
            <w:tcBorders>
              <w:top w:val="single" w:sz="4" w:space="0" w:color="auto"/>
              <w:left w:val="single" w:sz="4" w:space="0" w:color="auto"/>
              <w:bottom w:val="single" w:sz="4" w:space="0" w:color="auto"/>
              <w:right w:val="single" w:sz="4" w:space="0" w:color="auto"/>
            </w:tcBorders>
            <w:vAlign w:val="bottom"/>
          </w:tcPr>
          <w:p w14:paraId="18DCD490" w14:textId="3FC855C6" w:rsidR="005C5040" w:rsidRPr="00B80343" w:rsidRDefault="003375FA" w:rsidP="009574BD">
            <w:pPr>
              <w:jc w:val="right"/>
              <w:rPr>
                <w:sz w:val="16"/>
                <w:szCs w:val="16"/>
              </w:rPr>
            </w:pPr>
            <w:r>
              <w:rPr>
                <w:sz w:val="16"/>
              </w:rPr>
              <w:t>23,358</w:t>
            </w:r>
          </w:p>
        </w:tc>
        <w:tc>
          <w:tcPr>
            <w:tcW w:w="709" w:type="dxa"/>
            <w:tcBorders>
              <w:top w:val="single" w:sz="4" w:space="0" w:color="auto"/>
              <w:left w:val="single" w:sz="4" w:space="0" w:color="auto"/>
              <w:bottom w:val="single" w:sz="4" w:space="0" w:color="auto"/>
              <w:right w:val="single" w:sz="4" w:space="0" w:color="auto"/>
            </w:tcBorders>
            <w:vAlign w:val="bottom"/>
          </w:tcPr>
          <w:p w14:paraId="6AD346EB" w14:textId="77777777" w:rsidR="005C5040" w:rsidRPr="00B80343" w:rsidRDefault="005C5040" w:rsidP="009574BD">
            <w:pPr>
              <w:jc w:val="right"/>
              <w:rPr>
                <w:sz w:val="16"/>
                <w:szCs w:val="16"/>
              </w:rPr>
            </w:pPr>
            <w:r w:rsidRPr="00B80343">
              <w:rPr>
                <w:sz w:val="16"/>
              </w:rPr>
              <w:t xml:space="preserve">                    -   </w:t>
            </w:r>
          </w:p>
        </w:tc>
        <w:tc>
          <w:tcPr>
            <w:tcW w:w="956" w:type="dxa"/>
            <w:tcBorders>
              <w:top w:val="single" w:sz="4" w:space="0" w:color="auto"/>
              <w:left w:val="single" w:sz="4" w:space="0" w:color="auto"/>
              <w:bottom w:val="single" w:sz="4" w:space="0" w:color="auto"/>
            </w:tcBorders>
            <w:vAlign w:val="bottom"/>
          </w:tcPr>
          <w:p w14:paraId="46549577" w14:textId="2E01F547" w:rsidR="005C5040" w:rsidRPr="00B80343" w:rsidRDefault="005C5040" w:rsidP="009574BD">
            <w:pPr>
              <w:jc w:val="right"/>
              <w:rPr>
                <w:sz w:val="16"/>
                <w:szCs w:val="16"/>
              </w:rPr>
            </w:pPr>
            <w:r w:rsidRPr="00B80343">
              <w:rPr>
                <w:sz w:val="16"/>
              </w:rPr>
              <w:t xml:space="preserve">       33,</w:t>
            </w:r>
            <w:r w:rsidR="003375FA">
              <w:rPr>
                <w:sz w:val="16"/>
              </w:rPr>
              <w:t>631</w:t>
            </w:r>
            <w:r w:rsidRPr="00B80343">
              <w:rPr>
                <w:sz w:val="16"/>
              </w:rPr>
              <w:t>,</w:t>
            </w:r>
            <w:r w:rsidR="003375FA">
              <w:rPr>
                <w:sz w:val="16"/>
              </w:rPr>
              <w:t>0</w:t>
            </w:r>
            <w:r w:rsidR="003375FA" w:rsidRPr="00B80343">
              <w:rPr>
                <w:sz w:val="16"/>
              </w:rPr>
              <w:t>5</w:t>
            </w:r>
            <w:r w:rsidR="003375FA">
              <w:rPr>
                <w:sz w:val="16"/>
              </w:rPr>
              <w:t>9</w:t>
            </w:r>
            <w:r w:rsidR="003375FA" w:rsidRPr="00B80343">
              <w:rPr>
                <w:sz w:val="16"/>
              </w:rPr>
              <w:t xml:space="preserve"> </w:t>
            </w:r>
          </w:p>
        </w:tc>
      </w:tr>
      <w:tr w:rsidR="005C5040" w:rsidRPr="001B4A94" w14:paraId="511BC63F" w14:textId="77777777" w:rsidTr="005C5040">
        <w:trPr>
          <w:trHeight w:val="328"/>
        </w:trPr>
        <w:tc>
          <w:tcPr>
            <w:tcW w:w="1135" w:type="dxa"/>
            <w:tcBorders>
              <w:top w:val="single" w:sz="4" w:space="0" w:color="auto"/>
              <w:bottom w:val="single" w:sz="4" w:space="0" w:color="auto"/>
              <w:right w:val="single" w:sz="4" w:space="0" w:color="auto"/>
            </w:tcBorders>
            <w:vAlign w:val="center"/>
          </w:tcPr>
          <w:p w14:paraId="571225CC" w14:textId="77777777" w:rsidR="005C5040" w:rsidRPr="008F6866" w:rsidRDefault="005C5040" w:rsidP="009574BD">
            <w:pPr>
              <w:jc w:val="center"/>
              <w:rPr>
                <w:sz w:val="16"/>
                <w:szCs w:val="16"/>
              </w:rPr>
            </w:pPr>
            <w:r w:rsidRPr="008F6866">
              <w:rPr>
                <w:sz w:val="16"/>
                <w:szCs w:val="16"/>
              </w:rPr>
              <w:t>Deposits</w:t>
            </w:r>
          </w:p>
        </w:tc>
        <w:tc>
          <w:tcPr>
            <w:tcW w:w="851" w:type="dxa"/>
            <w:tcBorders>
              <w:top w:val="single" w:sz="4" w:space="0" w:color="auto"/>
              <w:bottom w:val="single" w:sz="4" w:space="0" w:color="auto"/>
              <w:right w:val="single" w:sz="4" w:space="0" w:color="auto"/>
            </w:tcBorders>
            <w:vAlign w:val="bottom"/>
          </w:tcPr>
          <w:p w14:paraId="6E40F3E0" w14:textId="45F45CFC" w:rsidR="005C5040" w:rsidRPr="00B80343" w:rsidRDefault="005C5040" w:rsidP="009574BD">
            <w:pPr>
              <w:jc w:val="right"/>
              <w:rPr>
                <w:sz w:val="16"/>
                <w:szCs w:val="16"/>
              </w:rPr>
            </w:pPr>
            <w:r w:rsidRPr="00B80343">
              <w:rPr>
                <w:sz w:val="16"/>
              </w:rPr>
              <w:t xml:space="preserve">              </w:t>
            </w:r>
            <w:r w:rsidR="003375FA">
              <w:rPr>
                <w:sz w:val="16"/>
              </w:rPr>
              <w:t>61</w:t>
            </w:r>
            <w:r w:rsidRPr="00B80343">
              <w:rPr>
                <w:sz w:val="16"/>
              </w:rPr>
              <w:t>,</w:t>
            </w:r>
            <w:r w:rsidR="003375FA">
              <w:rPr>
                <w:sz w:val="16"/>
              </w:rPr>
              <w:t>874</w:t>
            </w:r>
            <w:r w:rsidR="003375FA" w:rsidRPr="00B80343">
              <w:rPr>
                <w:sz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4CD8C060" w14:textId="1759E33F" w:rsidR="005C5040" w:rsidRPr="00B80343" w:rsidRDefault="005C5040" w:rsidP="009574BD">
            <w:pPr>
              <w:jc w:val="right"/>
              <w:rPr>
                <w:sz w:val="16"/>
                <w:szCs w:val="16"/>
              </w:rPr>
            </w:pPr>
            <w:r w:rsidRPr="00B80343">
              <w:rPr>
                <w:sz w:val="16"/>
              </w:rPr>
              <w:t xml:space="preserve">     </w:t>
            </w:r>
            <w:r w:rsidR="003375FA">
              <w:rPr>
                <w:sz w:val="16"/>
              </w:rPr>
              <w:t>4</w:t>
            </w:r>
            <w:r w:rsidRPr="00B80343">
              <w:rPr>
                <w:sz w:val="16"/>
              </w:rPr>
              <w:t>,</w:t>
            </w:r>
            <w:r w:rsidR="003375FA" w:rsidRPr="00B80343">
              <w:rPr>
                <w:sz w:val="16"/>
              </w:rPr>
              <w:t>9</w:t>
            </w:r>
            <w:r w:rsidR="003375FA">
              <w:rPr>
                <w:sz w:val="16"/>
              </w:rPr>
              <w:t>39</w:t>
            </w:r>
            <w:r w:rsidRPr="00B80343">
              <w:rPr>
                <w:sz w:val="16"/>
              </w:rPr>
              <w:t>,</w:t>
            </w:r>
            <w:r w:rsidR="003375FA">
              <w:rPr>
                <w:sz w:val="16"/>
              </w:rPr>
              <w:t>290</w:t>
            </w:r>
            <w:r w:rsidR="003375FA" w:rsidRPr="00B80343">
              <w:rPr>
                <w:sz w:val="16"/>
              </w:rPr>
              <w:t xml:space="preserve"> </w:t>
            </w:r>
          </w:p>
        </w:tc>
        <w:tc>
          <w:tcPr>
            <w:tcW w:w="851" w:type="dxa"/>
            <w:tcBorders>
              <w:top w:val="single" w:sz="4" w:space="0" w:color="auto"/>
              <w:left w:val="single" w:sz="4" w:space="0" w:color="auto"/>
              <w:bottom w:val="single" w:sz="4" w:space="0" w:color="auto"/>
              <w:right w:val="single" w:sz="4" w:space="0" w:color="auto"/>
            </w:tcBorders>
            <w:vAlign w:val="bottom"/>
          </w:tcPr>
          <w:p w14:paraId="32590136" w14:textId="1A597CED" w:rsidR="005C5040" w:rsidRPr="00B80343" w:rsidRDefault="005C5040" w:rsidP="009574BD">
            <w:pPr>
              <w:jc w:val="right"/>
              <w:rPr>
                <w:sz w:val="16"/>
                <w:szCs w:val="16"/>
              </w:rPr>
            </w:pPr>
            <w:r w:rsidRPr="00B80343">
              <w:rPr>
                <w:sz w:val="16"/>
              </w:rPr>
              <w:t xml:space="preserve">       </w:t>
            </w:r>
            <w:r w:rsidR="003375FA">
              <w:rPr>
                <w:sz w:val="16"/>
              </w:rPr>
              <w:t>3</w:t>
            </w:r>
            <w:r w:rsidRPr="00B80343">
              <w:rPr>
                <w:sz w:val="16"/>
              </w:rPr>
              <w:t>,</w:t>
            </w:r>
            <w:r w:rsidR="003375FA">
              <w:rPr>
                <w:sz w:val="16"/>
              </w:rPr>
              <w:t>790</w:t>
            </w:r>
            <w:r w:rsidRPr="00B80343">
              <w:rPr>
                <w:sz w:val="16"/>
              </w:rPr>
              <w:t>,</w:t>
            </w:r>
            <w:r w:rsidR="003375FA">
              <w:rPr>
                <w:sz w:val="16"/>
              </w:rPr>
              <w:t>313</w:t>
            </w:r>
            <w:r w:rsidR="003375FA" w:rsidRPr="00B80343">
              <w:rPr>
                <w:sz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1B904265" w14:textId="413658F6" w:rsidR="005C5040" w:rsidRPr="00B80343" w:rsidRDefault="005C5040" w:rsidP="009574BD">
            <w:pPr>
              <w:jc w:val="right"/>
              <w:rPr>
                <w:sz w:val="16"/>
                <w:szCs w:val="16"/>
              </w:rPr>
            </w:pPr>
            <w:r w:rsidRPr="00B80343">
              <w:rPr>
                <w:sz w:val="16"/>
              </w:rPr>
              <w:t xml:space="preserve">       </w:t>
            </w:r>
            <w:r w:rsidR="003375FA">
              <w:rPr>
                <w:sz w:val="16"/>
              </w:rPr>
              <w:t>9</w:t>
            </w:r>
            <w:r w:rsidRPr="00B80343">
              <w:rPr>
                <w:sz w:val="16"/>
              </w:rPr>
              <w:t>,</w:t>
            </w:r>
            <w:r w:rsidR="003375FA">
              <w:rPr>
                <w:sz w:val="16"/>
              </w:rPr>
              <w:t>313</w:t>
            </w:r>
            <w:r w:rsidRPr="00B80343">
              <w:rPr>
                <w:sz w:val="16"/>
              </w:rPr>
              <w:t>,</w:t>
            </w:r>
            <w:r w:rsidR="003375FA">
              <w:rPr>
                <w:sz w:val="16"/>
              </w:rPr>
              <w:t>646</w:t>
            </w:r>
            <w:r w:rsidR="003375FA" w:rsidRPr="00B80343">
              <w:rPr>
                <w:sz w:val="16"/>
              </w:rPr>
              <w:t xml:space="preserve"> </w:t>
            </w:r>
          </w:p>
        </w:tc>
        <w:tc>
          <w:tcPr>
            <w:tcW w:w="851" w:type="dxa"/>
            <w:tcBorders>
              <w:top w:val="single" w:sz="4" w:space="0" w:color="auto"/>
              <w:left w:val="single" w:sz="4" w:space="0" w:color="auto"/>
              <w:bottom w:val="single" w:sz="4" w:space="0" w:color="auto"/>
              <w:right w:val="single" w:sz="4" w:space="0" w:color="auto"/>
            </w:tcBorders>
            <w:vAlign w:val="bottom"/>
          </w:tcPr>
          <w:p w14:paraId="084FE500" w14:textId="2FC85A37" w:rsidR="005C5040" w:rsidRPr="00B80343" w:rsidRDefault="005C5040" w:rsidP="009574BD">
            <w:pPr>
              <w:jc w:val="right"/>
              <w:rPr>
                <w:sz w:val="16"/>
                <w:szCs w:val="16"/>
              </w:rPr>
            </w:pPr>
            <w:r w:rsidRPr="00B80343">
              <w:rPr>
                <w:sz w:val="16"/>
              </w:rPr>
              <w:t xml:space="preserve">       </w:t>
            </w:r>
            <w:r w:rsidR="003375FA">
              <w:rPr>
                <w:sz w:val="16"/>
              </w:rPr>
              <w:t>2</w:t>
            </w:r>
            <w:r w:rsidRPr="00B80343">
              <w:rPr>
                <w:sz w:val="16"/>
              </w:rPr>
              <w:t>,</w:t>
            </w:r>
            <w:r w:rsidR="003375FA">
              <w:rPr>
                <w:sz w:val="16"/>
              </w:rPr>
              <w:t>564</w:t>
            </w:r>
            <w:r w:rsidRPr="00B80343">
              <w:rPr>
                <w:sz w:val="16"/>
              </w:rPr>
              <w:t>,</w:t>
            </w:r>
            <w:r w:rsidR="003375FA">
              <w:rPr>
                <w:sz w:val="16"/>
              </w:rPr>
              <w:t>863</w:t>
            </w:r>
            <w:r w:rsidR="003375FA" w:rsidRPr="00B80343">
              <w:rPr>
                <w:sz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7C10EF56" w14:textId="448E4E9B" w:rsidR="005C5040" w:rsidRPr="00B80343" w:rsidRDefault="005C5040" w:rsidP="009574BD">
            <w:pPr>
              <w:jc w:val="right"/>
              <w:rPr>
                <w:sz w:val="16"/>
                <w:szCs w:val="16"/>
              </w:rPr>
            </w:pPr>
            <w:r w:rsidRPr="00B80343">
              <w:rPr>
                <w:sz w:val="16"/>
              </w:rPr>
              <w:t xml:space="preserve">            </w:t>
            </w:r>
            <w:r w:rsidR="003375FA">
              <w:rPr>
                <w:sz w:val="16"/>
              </w:rPr>
              <w:t>4</w:t>
            </w:r>
            <w:r>
              <w:rPr>
                <w:sz w:val="16"/>
              </w:rPr>
              <w:t>,</w:t>
            </w:r>
            <w:r w:rsidR="003375FA">
              <w:rPr>
                <w:sz w:val="16"/>
              </w:rPr>
              <w:t>079</w:t>
            </w:r>
            <w:r w:rsidRPr="00B80343">
              <w:rPr>
                <w:sz w:val="16"/>
              </w:rPr>
              <w:t>,</w:t>
            </w:r>
            <w:r w:rsidR="003375FA">
              <w:rPr>
                <w:sz w:val="16"/>
              </w:rPr>
              <w:t>943</w:t>
            </w:r>
            <w:r w:rsidR="003375FA" w:rsidRPr="00B80343">
              <w:rPr>
                <w:sz w:val="16"/>
              </w:rPr>
              <w:t xml:space="preserve"> </w:t>
            </w:r>
          </w:p>
        </w:tc>
        <w:tc>
          <w:tcPr>
            <w:tcW w:w="851" w:type="dxa"/>
            <w:tcBorders>
              <w:top w:val="single" w:sz="4" w:space="0" w:color="auto"/>
              <w:left w:val="single" w:sz="4" w:space="0" w:color="auto"/>
              <w:bottom w:val="single" w:sz="4" w:space="0" w:color="auto"/>
              <w:right w:val="single" w:sz="4" w:space="0" w:color="auto"/>
            </w:tcBorders>
            <w:vAlign w:val="bottom"/>
          </w:tcPr>
          <w:p w14:paraId="30BABB3E" w14:textId="7423C68B" w:rsidR="005C5040" w:rsidRPr="00B80343" w:rsidRDefault="005C5040" w:rsidP="009574BD">
            <w:pPr>
              <w:jc w:val="right"/>
              <w:rPr>
                <w:sz w:val="16"/>
                <w:szCs w:val="16"/>
              </w:rPr>
            </w:pPr>
            <w:r w:rsidRPr="00B80343">
              <w:rPr>
                <w:sz w:val="16"/>
              </w:rPr>
              <w:t xml:space="preserve">         </w:t>
            </w:r>
            <w:r w:rsidR="003375FA">
              <w:rPr>
                <w:sz w:val="16"/>
              </w:rPr>
              <w:t>3,699</w:t>
            </w:r>
            <w:r w:rsidRPr="00B80343">
              <w:rPr>
                <w:sz w:val="16"/>
              </w:rPr>
              <w:t>,</w:t>
            </w:r>
            <w:r w:rsidR="003375FA">
              <w:rPr>
                <w:sz w:val="16"/>
              </w:rPr>
              <w:t>358</w:t>
            </w:r>
            <w:r w:rsidR="003375FA" w:rsidRPr="00B80343">
              <w:rPr>
                <w:sz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06ADFCE3" w14:textId="0498E853" w:rsidR="005C5040" w:rsidRPr="00B80343" w:rsidRDefault="005C5040" w:rsidP="009574BD">
            <w:pPr>
              <w:jc w:val="right"/>
              <w:rPr>
                <w:sz w:val="16"/>
                <w:szCs w:val="16"/>
              </w:rPr>
            </w:pPr>
            <w:r w:rsidRPr="00B80343">
              <w:rPr>
                <w:sz w:val="16"/>
              </w:rPr>
              <w:t xml:space="preserve">                  </w:t>
            </w:r>
            <w:r>
              <w:rPr>
                <w:sz w:val="16"/>
              </w:rPr>
              <w:t>1,</w:t>
            </w:r>
            <w:r w:rsidR="003375FA">
              <w:rPr>
                <w:sz w:val="16"/>
              </w:rPr>
              <w:t>030</w:t>
            </w:r>
            <w:r>
              <w:rPr>
                <w:sz w:val="16"/>
              </w:rPr>
              <w:t>,</w:t>
            </w:r>
            <w:r w:rsidR="003375FA">
              <w:rPr>
                <w:sz w:val="16"/>
              </w:rPr>
              <w:t>533</w:t>
            </w:r>
            <w:r w:rsidR="003375FA" w:rsidRPr="00B80343">
              <w:rPr>
                <w:sz w:val="16"/>
              </w:rPr>
              <w:t xml:space="preserve">   </w:t>
            </w:r>
          </w:p>
        </w:tc>
        <w:tc>
          <w:tcPr>
            <w:tcW w:w="851" w:type="dxa"/>
            <w:tcBorders>
              <w:top w:val="single" w:sz="4" w:space="0" w:color="auto"/>
              <w:left w:val="single" w:sz="4" w:space="0" w:color="auto"/>
              <w:bottom w:val="single" w:sz="4" w:space="0" w:color="auto"/>
              <w:right w:val="single" w:sz="4" w:space="0" w:color="auto"/>
            </w:tcBorders>
            <w:vAlign w:val="bottom"/>
          </w:tcPr>
          <w:p w14:paraId="5BCB4F41" w14:textId="54DD1F67" w:rsidR="005C5040" w:rsidRPr="00B80343" w:rsidRDefault="005C5040" w:rsidP="009574BD">
            <w:pPr>
              <w:jc w:val="right"/>
              <w:rPr>
                <w:sz w:val="16"/>
                <w:szCs w:val="16"/>
              </w:rPr>
            </w:pPr>
            <w:r w:rsidRPr="00B80343">
              <w:rPr>
                <w:sz w:val="16"/>
              </w:rPr>
              <w:t xml:space="preserve">      </w:t>
            </w:r>
            <w:r w:rsidR="003375FA">
              <w:rPr>
                <w:sz w:val="16"/>
              </w:rPr>
              <w:t>513</w:t>
            </w:r>
            <w:r w:rsidRPr="00B80343">
              <w:rPr>
                <w:sz w:val="16"/>
              </w:rPr>
              <w:t>,</w:t>
            </w:r>
            <w:r w:rsidR="003375FA">
              <w:rPr>
                <w:sz w:val="16"/>
              </w:rPr>
              <w:t>529</w:t>
            </w:r>
            <w:r w:rsidR="003375FA" w:rsidRPr="00B80343">
              <w:rPr>
                <w:sz w:val="16"/>
              </w:rPr>
              <w:t xml:space="preserve"> </w:t>
            </w:r>
          </w:p>
        </w:tc>
        <w:tc>
          <w:tcPr>
            <w:tcW w:w="708" w:type="dxa"/>
            <w:tcBorders>
              <w:top w:val="single" w:sz="4" w:space="0" w:color="auto"/>
              <w:left w:val="single" w:sz="4" w:space="0" w:color="auto"/>
              <w:bottom w:val="single" w:sz="4" w:space="0" w:color="auto"/>
              <w:right w:val="single" w:sz="4" w:space="0" w:color="auto"/>
            </w:tcBorders>
            <w:vAlign w:val="bottom"/>
          </w:tcPr>
          <w:p w14:paraId="21AC52B2" w14:textId="420A9B65" w:rsidR="005C5040" w:rsidRPr="00B80343" w:rsidRDefault="003375FA" w:rsidP="009574BD">
            <w:pPr>
              <w:jc w:val="right"/>
              <w:rPr>
                <w:sz w:val="16"/>
                <w:szCs w:val="16"/>
              </w:rPr>
            </w:pPr>
            <w:r w:rsidRPr="00B80343">
              <w:rPr>
                <w:sz w:val="16"/>
              </w:rPr>
              <w:t xml:space="preserve">      </w:t>
            </w:r>
            <w:r>
              <w:rPr>
                <w:sz w:val="16"/>
              </w:rPr>
              <w:t>118</w:t>
            </w:r>
            <w:r w:rsidRPr="00B80343">
              <w:rPr>
                <w:sz w:val="16"/>
              </w:rPr>
              <w:t>,</w:t>
            </w:r>
            <w:r>
              <w:rPr>
                <w:sz w:val="16"/>
              </w:rPr>
              <w:t>021</w:t>
            </w:r>
          </w:p>
        </w:tc>
        <w:tc>
          <w:tcPr>
            <w:tcW w:w="709" w:type="dxa"/>
            <w:tcBorders>
              <w:top w:val="single" w:sz="4" w:space="0" w:color="auto"/>
              <w:left w:val="single" w:sz="4" w:space="0" w:color="auto"/>
              <w:bottom w:val="single" w:sz="4" w:space="0" w:color="auto"/>
              <w:right w:val="single" w:sz="4" w:space="0" w:color="auto"/>
            </w:tcBorders>
            <w:vAlign w:val="bottom"/>
          </w:tcPr>
          <w:p w14:paraId="6AED4796" w14:textId="77777777" w:rsidR="005C5040" w:rsidRPr="00B80343" w:rsidRDefault="005C5040" w:rsidP="009574BD">
            <w:pPr>
              <w:jc w:val="right"/>
              <w:rPr>
                <w:sz w:val="16"/>
                <w:szCs w:val="16"/>
              </w:rPr>
            </w:pPr>
            <w:r w:rsidRPr="00B80343">
              <w:rPr>
                <w:sz w:val="16"/>
              </w:rPr>
              <w:t xml:space="preserve">                    -   </w:t>
            </w:r>
          </w:p>
        </w:tc>
        <w:tc>
          <w:tcPr>
            <w:tcW w:w="956" w:type="dxa"/>
            <w:tcBorders>
              <w:top w:val="single" w:sz="4" w:space="0" w:color="auto"/>
              <w:left w:val="single" w:sz="4" w:space="0" w:color="auto"/>
              <w:bottom w:val="single" w:sz="4" w:space="0" w:color="auto"/>
            </w:tcBorders>
            <w:vAlign w:val="bottom"/>
          </w:tcPr>
          <w:p w14:paraId="2BE025ED" w14:textId="77B2D0F2" w:rsidR="005C5040" w:rsidRPr="00B80343" w:rsidRDefault="005C5040" w:rsidP="009574BD">
            <w:pPr>
              <w:jc w:val="right"/>
              <w:rPr>
                <w:sz w:val="16"/>
                <w:szCs w:val="16"/>
              </w:rPr>
            </w:pPr>
            <w:r w:rsidRPr="00B80343">
              <w:rPr>
                <w:sz w:val="16"/>
              </w:rPr>
              <w:t xml:space="preserve">       </w:t>
            </w:r>
            <w:r w:rsidR="003375FA" w:rsidRPr="00B80343">
              <w:rPr>
                <w:sz w:val="16"/>
              </w:rPr>
              <w:t>3</w:t>
            </w:r>
            <w:r w:rsidR="003375FA">
              <w:rPr>
                <w:sz w:val="16"/>
              </w:rPr>
              <w:t>0</w:t>
            </w:r>
            <w:r w:rsidRPr="00B80343">
              <w:rPr>
                <w:sz w:val="16"/>
              </w:rPr>
              <w:t>,</w:t>
            </w:r>
            <w:r w:rsidR="003375FA">
              <w:rPr>
                <w:sz w:val="16"/>
              </w:rPr>
              <w:t>111</w:t>
            </w:r>
            <w:r w:rsidRPr="00B80343">
              <w:rPr>
                <w:sz w:val="16"/>
              </w:rPr>
              <w:t>,</w:t>
            </w:r>
            <w:r w:rsidR="003375FA">
              <w:rPr>
                <w:sz w:val="16"/>
              </w:rPr>
              <w:t>370</w:t>
            </w:r>
            <w:r w:rsidR="003375FA" w:rsidRPr="00B80343">
              <w:rPr>
                <w:sz w:val="16"/>
              </w:rPr>
              <w:t xml:space="preserve"> </w:t>
            </w:r>
          </w:p>
        </w:tc>
      </w:tr>
      <w:tr w:rsidR="005C5040" w:rsidRPr="001B4A94" w14:paraId="6EFE2E78" w14:textId="77777777" w:rsidTr="005C5040">
        <w:trPr>
          <w:trHeight w:val="328"/>
        </w:trPr>
        <w:tc>
          <w:tcPr>
            <w:tcW w:w="1135" w:type="dxa"/>
            <w:tcBorders>
              <w:top w:val="single" w:sz="4" w:space="0" w:color="auto"/>
              <w:bottom w:val="single" w:sz="4" w:space="0" w:color="auto"/>
              <w:right w:val="single" w:sz="4" w:space="0" w:color="auto"/>
            </w:tcBorders>
            <w:vAlign w:val="center"/>
          </w:tcPr>
          <w:p w14:paraId="31912DDD" w14:textId="77777777" w:rsidR="005C5040" w:rsidRPr="008F6866" w:rsidRDefault="005C5040" w:rsidP="009574BD">
            <w:pPr>
              <w:jc w:val="center"/>
              <w:rPr>
                <w:sz w:val="16"/>
                <w:szCs w:val="16"/>
              </w:rPr>
            </w:pPr>
            <w:r w:rsidRPr="008F6866">
              <w:rPr>
                <w:sz w:val="16"/>
                <w:szCs w:val="16"/>
              </w:rPr>
              <w:t>Borrowings</w:t>
            </w:r>
          </w:p>
        </w:tc>
        <w:tc>
          <w:tcPr>
            <w:tcW w:w="851" w:type="dxa"/>
            <w:tcBorders>
              <w:top w:val="single" w:sz="4" w:space="0" w:color="auto"/>
              <w:bottom w:val="single" w:sz="4" w:space="0" w:color="auto"/>
              <w:right w:val="single" w:sz="4" w:space="0" w:color="auto"/>
            </w:tcBorders>
            <w:vAlign w:val="bottom"/>
          </w:tcPr>
          <w:p w14:paraId="29993BFF" w14:textId="77777777" w:rsidR="005C5040" w:rsidRPr="00B80343" w:rsidRDefault="005C5040" w:rsidP="009574BD">
            <w:pPr>
              <w:jc w:val="right"/>
              <w:rPr>
                <w:sz w:val="16"/>
                <w:szCs w:val="16"/>
              </w:rPr>
            </w:pPr>
            <w:r w:rsidRPr="00B80343">
              <w:rPr>
                <w:sz w:val="16"/>
              </w:rPr>
              <w:t xml:space="preserve">                     </w:t>
            </w:r>
            <w:r>
              <w:rPr>
                <w:sz w:val="16"/>
              </w:rPr>
              <w:t>-</w:t>
            </w:r>
          </w:p>
        </w:tc>
        <w:tc>
          <w:tcPr>
            <w:tcW w:w="850" w:type="dxa"/>
            <w:tcBorders>
              <w:top w:val="single" w:sz="4" w:space="0" w:color="auto"/>
              <w:left w:val="single" w:sz="4" w:space="0" w:color="auto"/>
              <w:bottom w:val="single" w:sz="4" w:space="0" w:color="auto"/>
              <w:right w:val="single" w:sz="4" w:space="0" w:color="auto"/>
            </w:tcBorders>
            <w:vAlign w:val="bottom"/>
          </w:tcPr>
          <w:p w14:paraId="769F6EC4" w14:textId="2206CDAD" w:rsidR="005C5040" w:rsidRPr="00B80343" w:rsidRDefault="003375FA" w:rsidP="009574BD">
            <w:pPr>
              <w:jc w:val="right"/>
              <w:rPr>
                <w:sz w:val="16"/>
                <w:szCs w:val="16"/>
              </w:rPr>
            </w:pPr>
            <w:r w:rsidRPr="00B80343">
              <w:rPr>
                <w:sz w:val="16"/>
              </w:rPr>
              <w:t xml:space="preserve">                     </w:t>
            </w:r>
            <w:r>
              <w:rPr>
                <w:sz w:val="16"/>
              </w:rPr>
              <w:t>-</w:t>
            </w:r>
          </w:p>
        </w:tc>
        <w:tc>
          <w:tcPr>
            <w:tcW w:w="851" w:type="dxa"/>
            <w:tcBorders>
              <w:top w:val="single" w:sz="4" w:space="0" w:color="auto"/>
              <w:left w:val="single" w:sz="4" w:space="0" w:color="auto"/>
              <w:bottom w:val="single" w:sz="4" w:space="0" w:color="auto"/>
              <w:right w:val="single" w:sz="4" w:space="0" w:color="auto"/>
            </w:tcBorders>
            <w:vAlign w:val="bottom"/>
          </w:tcPr>
          <w:p w14:paraId="5D6939D5" w14:textId="7A0D1FC4" w:rsidR="005C5040" w:rsidRPr="00B80343" w:rsidRDefault="003375FA" w:rsidP="009574BD">
            <w:pPr>
              <w:jc w:val="right"/>
              <w:rPr>
                <w:sz w:val="16"/>
                <w:szCs w:val="16"/>
              </w:rPr>
            </w:pPr>
            <w:r>
              <w:rPr>
                <w:sz w:val="16"/>
              </w:rPr>
              <w:t>316,089</w:t>
            </w:r>
          </w:p>
        </w:tc>
        <w:tc>
          <w:tcPr>
            <w:tcW w:w="850" w:type="dxa"/>
            <w:tcBorders>
              <w:top w:val="single" w:sz="4" w:space="0" w:color="auto"/>
              <w:left w:val="single" w:sz="4" w:space="0" w:color="auto"/>
              <w:bottom w:val="single" w:sz="4" w:space="0" w:color="auto"/>
              <w:right w:val="single" w:sz="4" w:space="0" w:color="auto"/>
            </w:tcBorders>
            <w:vAlign w:val="bottom"/>
          </w:tcPr>
          <w:p w14:paraId="28DC781F" w14:textId="64888BB3" w:rsidR="005C5040" w:rsidRPr="00B80343" w:rsidRDefault="003375FA" w:rsidP="009574BD">
            <w:pPr>
              <w:jc w:val="right"/>
              <w:rPr>
                <w:sz w:val="16"/>
                <w:szCs w:val="16"/>
              </w:rPr>
            </w:pPr>
            <w:r w:rsidRPr="00B80343">
              <w:rPr>
                <w:sz w:val="16"/>
              </w:rPr>
              <w:t xml:space="preserve">                     </w:t>
            </w:r>
            <w:r>
              <w:rPr>
                <w:sz w:val="16"/>
              </w:rPr>
              <w:t>-</w:t>
            </w:r>
          </w:p>
        </w:tc>
        <w:tc>
          <w:tcPr>
            <w:tcW w:w="851" w:type="dxa"/>
            <w:tcBorders>
              <w:top w:val="single" w:sz="4" w:space="0" w:color="auto"/>
              <w:left w:val="single" w:sz="4" w:space="0" w:color="auto"/>
              <w:bottom w:val="single" w:sz="4" w:space="0" w:color="auto"/>
              <w:right w:val="single" w:sz="4" w:space="0" w:color="auto"/>
            </w:tcBorders>
            <w:vAlign w:val="bottom"/>
          </w:tcPr>
          <w:p w14:paraId="2CF90BA3" w14:textId="77777777" w:rsidR="005C5040" w:rsidRPr="00B80343" w:rsidRDefault="005C5040" w:rsidP="009574BD">
            <w:pPr>
              <w:jc w:val="right"/>
              <w:rPr>
                <w:sz w:val="16"/>
                <w:szCs w:val="16"/>
              </w:rPr>
            </w:pPr>
            <w:r w:rsidRPr="00B80343">
              <w:rPr>
                <w:sz w:val="16"/>
              </w:rPr>
              <w:t xml:space="preserve">                   -   </w:t>
            </w:r>
          </w:p>
        </w:tc>
        <w:tc>
          <w:tcPr>
            <w:tcW w:w="850" w:type="dxa"/>
            <w:tcBorders>
              <w:top w:val="single" w:sz="4" w:space="0" w:color="auto"/>
              <w:left w:val="single" w:sz="4" w:space="0" w:color="auto"/>
              <w:bottom w:val="single" w:sz="4" w:space="0" w:color="auto"/>
              <w:right w:val="single" w:sz="4" w:space="0" w:color="auto"/>
            </w:tcBorders>
            <w:vAlign w:val="bottom"/>
          </w:tcPr>
          <w:p w14:paraId="694045E7" w14:textId="656448A3" w:rsidR="005C5040" w:rsidRPr="00B80343" w:rsidRDefault="003375FA" w:rsidP="009574BD">
            <w:pPr>
              <w:jc w:val="right"/>
              <w:rPr>
                <w:sz w:val="16"/>
                <w:szCs w:val="16"/>
              </w:rPr>
            </w:pPr>
            <w:r w:rsidRPr="00B80343">
              <w:rPr>
                <w:sz w:val="16"/>
              </w:rPr>
              <w:t xml:space="preserve">                     </w:t>
            </w:r>
            <w:r>
              <w:rPr>
                <w:sz w:val="16"/>
              </w:rPr>
              <w:t>-</w:t>
            </w:r>
          </w:p>
        </w:tc>
        <w:tc>
          <w:tcPr>
            <w:tcW w:w="851" w:type="dxa"/>
            <w:tcBorders>
              <w:top w:val="single" w:sz="4" w:space="0" w:color="auto"/>
              <w:left w:val="single" w:sz="4" w:space="0" w:color="auto"/>
              <w:bottom w:val="single" w:sz="4" w:space="0" w:color="auto"/>
              <w:right w:val="single" w:sz="4" w:space="0" w:color="auto"/>
            </w:tcBorders>
            <w:vAlign w:val="bottom"/>
          </w:tcPr>
          <w:p w14:paraId="61C69904" w14:textId="77777777" w:rsidR="005C5040" w:rsidRPr="00B80343" w:rsidRDefault="005C5040" w:rsidP="009574BD">
            <w:pPr>
              <w:jc w:val="right"/>
              <w:rPr>
                <w:sz w:val="16"/>
                <w:szCs w:val="16"/>
              </w:rPr>
            </w:pPr>
            <w:r w:rsidRPr="00B80343">
              <w:rPr>
                <w:sz w:val="16"/>
              </w:rPr>
              <w:t xml:space="preserve">                     -   </w:t>
            </w:r>
          </w:p>
        </w:tc>
        <w:tc>
          <w:tcPr>
            <w:tcW w:w="850" w:type="dxa"/>
            <w:tcBorders>
              <w:top w:val="single" w:sz="4" w:space="0" w:color="auto"/>
              <w:left w:val="single" w:sz="4" w:space="0" w:color="auto"/>
              <w:bottom w:val="single" w:sz="4" w:space="0" w:color="auto"/>
              <w:right w:val="single" w:sz="4" w:space="0" w:color="auto"/>
            </w:tcBorders>
            <w:vAlign w:val="bottom"/>
          </w:tcPr>
          <w:p w14:paraId="1AE91016" w14:textId="77777777" w:rsidR="005C5040" w:rsidRPr="00B80343" w:rsidRDefault="005C5040" w:rsidP="009574BD">
            <w:pPr>
              <w:jc w:val="right"/>
              <w:rPr>
                <w:sz w:val="16"/>
                <w:szCs w:val="16"/>
              </w:rPr>
            </w:pPr>
            <w:r w:rsidRPr="00B80343">
              <w:rPr>
                <w:sz w:val="16"/>
              </w:rPr>
              <w:t xml:space="preserve">                  -   </w:t>
            </w:r>
          </w:p>
        </w:tc>
        <w:tc>
          <w:tcPr>
            <w:tcW w:w="851" w:type="dxa"/>
            <w:tcBorders>
              <w:top w:val="single" w:sz="4" w:space="0" w:color="auto"/>
              <w:left w:val="single" w:sz="4" w:space="0" w:color="auto"/>
              <w:bottom w:val="single" w:sz="4" w:space="0" w:color="auto"/>
              <w:right w:val="single" w:sz="4" w:space="0" w:color="auto"/>
            </w:tcBorders>
            <w:vAlign w:val="bottom"/>
          </w:tcPr>
          <w:p w14:paraId="7A1AE977" w14:textId="77777777" w:rsidR="005C5040" w:rsidRPr="00B80343" w:rsidRDefault="005C5040" w:rsidP="009574BD">
            <w:pPr>
              <w:jc w:val="right"/>
              <w:rPr>
                <w:sz w:val="16"/>
                <w:szCs w:val="16"/>
              </w:rPr>
            </w:pPr>
            <w:r w:rsidRPr="00B80343">
              <w:rPr>
                <w:sz w:val="16"/>
              </w:rPr>
              <w:t xml:space="preserve">                  -   </w:t>
            </w:r>
          </w:p>
        </w:tc>
        <w:tc>
          <w:tcPr>
            <w:tcW w:w="708" w:type="dxa"/>
            <w:tcBorders>
              <w:top w:val="single" w:sz="4" w:space="0" w:color="auto"/>
              <w:left w:val="single" w:sz="4" w:space="0" w:color="auto"/>
              <w:bottom w:val="single" w:sz="4" w:space="0" w:color="auto"/>
              <w:right w:val="single" w:sz="4" w:space="0" w:color="auto"/>
            </w:tcBorders>
            <w:vAlign w:val="bottom"/>
          </w:tcPr>
          <w:p w14:paraId="757B7363" w14:textId="77777777" w:rsidR="005C5040" w:rsidRPr="00B80343" w:rsidRDefault="005C5040" w:rsidP="009574BD">
            <w:pPr>
              <w:jc w:val="right"/>
              <w:rPr>
                <w:sz w:val="16"/>
                <w:szCs w:val="16"/>
              </w:rPr>
            </w:pPr>
            <w:r w:rsidRPr="00B80343">
              <w:rPr>
                <w:sz w:val="16"/>
              </w:rPr>
              <w:t xml:space="preserve">              -   </w:t>
            </w:r>
          </w:p>
        </w:tc>
        <w:tc>
          <w:tcPr>
            <w:tcW w:w="709" w:type="dxa"/>
            <w:tcBorders>
              <w:top w:val="single" w:sz="4" w:space="0" w:color="auto"/>
              <w:left w:val="single" w:sz="4" w:space="0" w:color="auto"/>
              <w:bottom w:val="single" w:sz="4" w:space="0" w:color="auto"/>
              <w:right w:val="single" w:sz="4" w:space="0" w:color="auto"/>
            </w:tcBorders>
            <w:vAlign w:val="bottom"/>
          </w:tcPr>
          <w:p w14:paraId="1C06923B" w14:textId="77777777" w:rsidR="005C5040" w:rsidRPr="00B80343" w:rsidRDefault="005C5040" w:rsidP="009574BD">
            <w:pPr>
              <w:jc w:val="right"/>
              <w:rPr>
                <w:sz w:val="16"/>
                <w:szCs w:val="16"/>
              </w:rPr>
            </w:pPr>
            <w:r w:rsidRPr="00B80343">
              <w:rPr>
                <w:sz w:val="16"/>
              </w:rPr>
              <w:t xml:space="preserve">                    -   </w:t>
            </w:r>
          </w:p>
        </w:tc>
        <w:tc>
          <w:tcPr>
            <w:tcW w:w="956" w:type="dxa"/>
            <w:tcBorders>
              <w:top w:val="single" w:sz="4" w:space="0" w:color="auto"/>
              <w:left w:val="single" w:sz="4" w:space="0" w:color="auto"/>
              <w:bottom w:val="single" w:sz="4" w:space="0" w:color="auto"/>
            </w:tcBorders>
            <w:vAlign w:val="bottom"/>
          </w:tcPr>
          <w:p w14:paraId="43249F40" w14:textId="534383A9" w:rsidR="005C5040" w:rsidRPr="00B80343" w:rsidRDefault="003375FA" w:rsidP="009574BD">
            <w:pPr>
              <w:jc w:val="right"/>
              <w:rPr>
                <w:sz w:val="16"/>
                <w:szCs w:val="16"/>
              </w:rPr>
            </w:pPr>
            <w:r>
              <w:rPr>
                <w:sz w:val="16"/>
              </w:rPr>
              <w:t>316,089</w:t>
            </w:r>
          </w:p>
        </w:tc>
      </w:tr>
      <w:tr w:rsidR="005C5040" w:rsidRPr="001B4A94" w14:paraId="1B640B0B" w14:textId="77777777" w:rsidTr="005C5040">
        <w:trPr>
          <w:trHeight w:val="566"/>
        </w:trPr>
        <w:tc>
          <w:tcPr>
            <w:tcW w:w="1135" w:type="dxa"/>
            <w:tcBorders>
              <w:top w:val="single" w:sz="4" w:space="0" w:color="auto"/>
              <w:bottom w:val="single" w:sz="4" w:space="0" w:color="auto"/>
              <w:right w:val="single" w:sz="4" w:space="0" w:color="auto"/>
            </w:tcBorders>
            <w:vAlign w:val="center"/>
          </w:tcPr>
          <w:p w14:paraId="284991BB" w14:textId="77777777" w:rsidR="005C5040" w:rsidRPr="008F6866" w:rsidRDefault="005C5040" w:rsidP="009574BD">
            <w:pPr>
              <w:jc w:val="center"/>
              <w:rPr>
                <w:sz w:val="16"/>
                <w:szCs w:val="16"/>
              </w:rPr>
            </w:pPr>
            <w:r w:rsidRPr="008F6866">
              <w:rPr>
                <w:sz w:val="16"/>
                <w:szCs w:val="16"/>
              </w:rPr>
              <w:t>Foreign Currency Assets</w:t>
            </w:r>
          </w:p>
        </w:tc>
        <w:tc>
          <w:tcPr>
            <w:tcW w:w="851" w:type="dxa"/>
            <w:tcBorders>
              <w:top w:val="single" w:sz="4" w:space="0" w:color="auto"/>
              <w:bottom w:val="single" w:sz="4" w:space="0" w:color="auto"/>
              <w:right w:val="single" w:sz="4" w:space="0" w:color="auto"/>
            </w:tcBorders>
            <w:vAlign w:val="bottom"/>
          </w:tcPr>
          <w:p w14:paraId="29686836" w14:textId="1397F59B" w:rsidR="005C5040" w:rsidRPr="00B80343" w:rsidRDefault="005C5040" w:rsidP="009574BD">
            <w:pPr>
              <w:jc w:val="right"/>
              <w:rPr>
                <w:sz w:val="16"/>
                <w:szCs w:val="16"/>
              </w:rPr>
            </w:pPr>
            <w:r w:rsidRPr="00B80343">
              <w:rPr>
                <w:sz w:val="16"/>
              </w:rPr>
              <w:t xml:space="preserve">            </w:t>
            </w:r>
            <w:r w:rsidR="003375FA">
              <w:rPr>
                <w:sz w:val="16"/>
              </w:rPr>
              <w:t>1</w:t>
            </w:r>
            <w:r>
              <w:rPr>
                <w:sz w:val="16"/>
              </w:rPr>
              <w:t>,</w:t>
            </w:r>
            <w:r w:rsidR="003375FA">
              <w:rPr>
                <w:sz w:val="16"/>
              </w:rPr>
              <w:t>935</w:t>
            </w:r>
            <w:r w:rsidRPr="00B80343">
              <w:rPr>
                <w:sz w:val="16"/>
              </w:rPr>
              <w:t>,</w:t>
            </w:r>
            <w:r w:rsidR="003375FA">
              <w:rPr>
                <w:sz w:val="16"/>
              </w:rPr>
              <w:t>125</w:t>
            </w:r>
            <w:r w:rsidR="003375FA" w:rsidRPr="00B80343">
              <w:rPr>
                <w:sz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257298B7" w14:textId="13328541" w:rsidR="005C5040" w:rsidRPr="00B80343" w:rsidRDefault="003375FA" w:rsidP="009574BD">
            <w:pPr>
              <w:jc w:val="right"/>
              <w:rPr>
                <w:sz w:val="16"/>
                <w:szCs w:val="16"/>
              </w:rPr>
            </w:pPr>
            <w:r w:rsidRPr="00B80343">
              <w:rPr>
                <w:sz w:val="16"/>
              </w:rPr>
              <w:t xml:space="preserve">                    -   </w:t>
            </w:r>
          </w:p>
        </w:tc>
        <w:tc>
          <w:tcPr>
            <w:tcW w:w="851" w:type="dxa"/>
            <w:tcBorders>
              <w:top w:val="single" w:sz="4" w:space="0" w:color="auto"/>
              <w:left w:val="single" w:sz="4" w:space="0" w:color="auto"/>
              <w:bottom w:val="single" w:sz="4" w:space="0" w:color="auto"/>
              <w:right w:val="single" w:sz="4" w:space="0" w:color="auto"/>
            </w:tcBorders>
            <w:vAlign w:val="bottom"/>
          </w:tcPr>
          <w:p w14:paraId="385967B1" w14:textId="6046249F" w:rsidR="005C5040" w:rsidRPr="00B80343" w:rsidRDefault="005C5040" w:rsidP="009574BD">
            <w:pPr>
              <w:jc w:val="right"/>
              <w:rPr>
                <w:sz w:val="16"/>
                <w:szCs w:val="16"/>
              </w:rPr>
            </w:pPr>
            <w:r w:rsidRPr="00B80343">
              <w:rPr>
                <w:sz w:val="16"/>
              </w:rPr>
              <w:t xml:space="preserve">       </w:t>
            </w:r>
            <w:r w:rsidR="003375FA">
              <w:rPr>
                <w:sz w:val="16"/>
              </w:rPr>
              <w:t>316</w:t>
            </w:r>
            <w:r w:rsidRPr="00B80343">
              <w:rPr>
                <w:sz w:val="16"/>
              </w:rPr>
              <w:t>,</w:t>
            </w:r>
            <w:r w:rsidR="003375FA">
              <w:rPr>
                <w:sz w:val="16"/>
              </w:rPr>
              <w:t>396</w:t>
            </w:r>
            <w:r w:rsidR="003375FA" w:rsidRPr="00B80343">
              <w:rPr>
                <w:sz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58EBC884" w14:textId="7DF7D381" w:rsidR="005C5040" w:rsidRPr="00B80343" w:rsidRDefault="003375FA" w:rsidP="009574BD">
            <w:pPr>
              <w:jc w:val="right"/>
              <w:rPr>
                <w:sz w:val="16"/>
                <w:szCs w:val="16"/>
              </w:rPr>
            </w:pPr>
            <w:r>
              <w:rPr>
                <w:sz w:val="16"/>
              </w:rPr>
              <w:t>-</w:t>
            </w:r>
          </w:p>
        </w:tc>
        <w:tc>
          <w:tcPr>
            <w:tcW w:w="851" w:type="dxa"/>
            <w:tcBorders>
              <w:top w:val="single" w:sz="4" w:space="0" w:color="auto"/>
              <w:left w:val="single" w:sz="4" w:space="0" w:color="auto"/>
              <w:bottom w:val="single" w:sz="4" w:space="0" w:color="auto"/>
              <w:right w:val="single" w:sz="4" w:space="0" w:color="auto"/>
            </w:tcBorders>
            <w:vAlign w:val="bottom"/>
          </w:tcPr>
          <w:p w14:paraId="68785A46" w14:textId="77777777" w:rsidR="005C5040" w:rsidRPr="00B80343" w:rsidRDefault="005C5040" w:rsidP="009574BD">
            <w:pPr>
              <w:jc w:val="right"/>
              <w:rPr>
                <w:sz w:val="16"/>
                <w:szCs w:val="16"/>
              </w:rPr>
            </w:pPr>
            <w:r w:rsidRPr="00B80343">
              <w:rPr>
                <w:sz w:val="16"/>
              </w:rPr>
              <w:t xml:space="preserve">                   -   </w:t>
            </w:r>
          </w:p>
        </w:tc>
        <w:tc>
          <w:tcPr>
            <w:tcW w:w="850" w:type="dxa"/>
            <w:tcBorders>
              <w:top w:val="single" w:sz="4" w:space="0" w:color="auto"/>
              <w:left w:val="single" w:sz="4" w:space="0" w:color="auto"/>
              <w:bottom w:val="single" w:sz="4" w:space="0" w:color="auto"/>
              <w:right w:val="single" w:sz="4" w:space="0" w:color="auto"/>
            </w:tcBorders>
            <w:vAlign w:val="bottom"/>
          </w:tcPr>
          <w:p w14:paraId="6C2C25F7" w14:textId="77777777" w:rsidR="005C5040" w:rsidRPr="00B80343" w:rsidRDefault="005C5040" w:rsidP="009574BD">
            <w:pPr>
              <w:jc w:val="right"/>
              <w:rPr>
                <w:sz w:val="16"/>
                <w:szCs w:val="16"/>
              </w:rPr>
            </w:pPr>
            <w:r w:rsidRPr="00B80343">
              <w:rPr>
                <w:sz w:val="16"/>
              </w:rPr>
              <w:t xml:space="preserve">         </w:t>
            </w:r>
            <w:r>
              <w:rPr>
                <w:sz w:val="16"/>
              </w:rPr>
              <w:t>-</w:t>
            </w:r>
            <w:r w:rsidRPr="00B80343">
              <w:rPr>
                <w:sz w:val="16"/>
              </w:rPr>
              <w:t xml:space="preserve"> </w:t>
            </w:r>
          </w:p>
        </w:tc>
        <w:tc>
          <w:tcPr>
            <w:tcW w:w="851" w:type="dxa"/>
            <w:tcBorders>
              <w:top w:val="single" w:sz="4" w:space="0" w:color="auto"/>
              <w:left w:val="single" w:sz="4" w:space="0" w:color="auto"/>
              <w:bottom w:val="single" w:sz="4" w:space="0" w:color="auto"/>
              <w:right w:val="single" w:sz="4" w:space="0" w:color="auto"/>
            </w:tcBorders>
            <w:vAlign w:val="bottom"/>
          </w:tcPr>
          <w:p w14:paraId="74B95C34" w14:textId="397413F1" w:rsidR="005C5040" w:rsidRPr="00B80343" w:rsidRDefault="003375FA" w:rsidP="009574BD">
            <w:pPr>
              <w:jc w:val="right"/>
              <w:rPr>
                <w:sz w:val="16"/>
                <w:szCs w:val="16"/>
              </w:rPr>
            </w:pPr>
            <w:r>
              <w:rPr>
                <w:sz w:val="16"/>
              </w:rPr>
              <w:t>-</w:t>
            </w:r>
          </w:p>
        </w:tc>
        <w:tc>
          <w:tcPr>
            <w:tcW w:w="850" w:type="dxa"/>
            <w:tcBorders>
              <w:top w:val="single" w:sz="4" w:space="0" w:color="auto"/>
              <w:left w:val="single" w:sz="4" w:space="0" w:color="auto"/>
              <w:bottom w:val="single" w:sz="4" w:space="0" w:color="auto"/>
              <w:right w:val="single" w:sz="4" w:space="0" w:color="auto"/>
            </w:tcBorders>
            <w:vAlign w:val="bottom"/>
          </w:tcPr>
          <w:p w14:paraId="06133141" w14:textId="02544C93" w:rsidR="005C5040" w:rsidRPr="00B80343" w:rsidRDefault="003375FA" w:rsidP="009574BD">
            <w:pPr>
              <w:jc w:val="right"/>
              <w:rPr>
                <w:sz w:val="16"/>
                <w:szCs w:val="16"/>
              </w:rPr>
            </w:pPr>
            <w:r>
              <w:rPr>
                <w:sz w:val="16"/>
              </w:rPr>
              <w:t>-</w:t>
            </w:r>
          </w:p>
        </w:tc>
        <w:tc>
          <w:tcPr>
            <w:tcW w:w="851" w:type="dxa"/>
            <w:tcBorders>
              <w:top w:val="single" w:sz="4" w:space="0" w:color="auto"/>
              <w:left w:val="single" w:sz="4" w:space="0" w:color="auto"/>
              <w:bottom w:val="single" w:sz="4" w:space="0" w:color="auto"/>
              <w:right w:val="single" w:sz="4" w:space="0" w:color="auto"/>
            </w:tcBorders>
            <w:vAlign w:val="bottom"/>
          </w:tcPr>
          <w:p w14:paraId="29552F8E" w14:textId="77777777" w:rsidR="005C5040" w:rsidRPr="00B80343" w:rsidRDefault="005C5040" w:rsidP="009574BD">
            <w:pPr>
              <w:jc w:val="right"/>
              <w:rPr>
                <w:sz w:val="16"/>
                <w:szCs w:val="16"/>
              </w:rPr>
            </w:pPr>
            <w:r w:rsidRPr="00B80343">
              <w:rPr>
                <w:sz w:val="16"/>
              </w:rPr>
              <w:t xml:space="preserve">                  -   </w:t>
            </w:r>
          </w:p>
        </w:tc>
        <w:tc>
          <w:tcPr>
            <w:tcW w:w="708" w:type="dxa"/>
            <w:tcBorders>
              <w:top w:val="single" w:sz="4" w:space="0" w:color="auto"/>
              <w:left w:val="single" w:sz="4" w:space="0" w:color="auto"/>
              <w:bottom w:val="single" w:sz="4" w:space="0" w:color="auto"/>
              <w:right w:val="single" w:sz="4" w:space="0" w:color="auto"/>
            </w:tcBorders>
            <w:vAlign w:val="bottom"/>
          </w:tcPr>
          <w:p w14:paraId="440E231E" w14:textId="77777777" w:rsidR="005C5040" w:rsidRPr="00B80343" w:rsidRDefault="005C5040" w:rsidP="009574BD">
            <w:pPr>
              <w:jc w:val="right"/>
              <w:rPr>
                <w:sz w:val="16"/>
                <w:szCs w:val="16"/>
              </w:rPr>
            </w:pPr>
            <w:r w:rsidRPr="00B80343">
              <w:rPr>
                <w:sz w:val="16"/>
              </w:rPr>
              <w:t xml:space="preserve">              -   </w:t>
            </w:r>
          </w:p>
        </w:tc>
        <w:tc>
          <w:tcPr>
            <w:tcW w:w="709" w:type="dxa"/>
            <w:tcBorders>
              <w:top w:val="single" w:sz="4" w:space="0" w:color="auto"/>
              <w:left w:val="single" w:sz="4" w:space="0" w:color="auto"/>
              <w:bottom w:val="single" w:sz="4" w:space="0" w:color="auto"/>
              <w:right w:val="single" w:sz="4" w:space="0" w:color="auto"/>
            </w:tcBorders>
            <w:vAlign w:val="bottom"/>
          </w:tcPr>
          <w:p w14:paraId="6D660924" w14:textId="77777777" w:rsidR="005C5040" w:rsidRPr="00B80343" w:rsidRDefault="005C5040" w:rsidP="009574BD">
            <w:pPr>
              <w:jc w:val="right"/>
              <w:rPr>
                <w:sz w:val="16"/>
                <w:szCs w:val="16"/>
              </w:rPr>
            </w:pPr>
            <w:r w:rsidRPr="00B80343">
              <w:rPr>
                <w:sz w:val="16"/>
              </w:rPr>
              <w:t xml:space="preserve">                    </w:t>
            </w:r>
            <w:r>
              <w:rPr>
                <w:sz w:val="16"/>
              </w:rPr>
              <w:t>-</w:t>
            </w:r>
          </w:p>
        </w:tc>
        <w:tc>
          <w:tcPr>
            <w:tcW w:w="956" w:type="dxa"/>
            <w:tcBorders>
              <w:top w:val="single" w:sz="4" w:space="0" w:color="auto"/>
              <w:left w:val="single" w:sz="4" w:space="0" w:color="auto"/>
              <w:bottom w:val="single" w:sz="4" w:space="0" w:color="auto"/>
            </w:tcBorders>
            <w:vAlign w:val="bottom"/>
          </w:tcPr>
          <w:p w14:paraId="7E79A2B6" w14:textId="29CA1059" w:rsidR="005C5040" w:rsidRPr="00B80343" w:rsidRDefault="005C5040" w:rsidP="009574BD">
            <w:pPr>
              <w:jc w:val="right"/>
              <w:rPr>
                <w:sz w:val="16"/>
                <w:szCs w:val="16"/>
              </w:rPr>
            </w:pPr>
            <w:r w:rsidRPr="00B80343">
              <w:rPr>
                <w:sz w:val="16"/>
              </w:rPr>
              <w:t xml:space="preserve">         </w:t>
            </w:r>
            <w:r w:rsidR="003375FA">
              <w:rPr>
                <w:sz w:val="16"/>
              </w:rPr>
              <w:t>2</w:t>
            </w:r>
            <w:r w:rsidRPr="00750371">
              <w:rPr>
                <w:sz w:val="16"/>
              </w:rPr>
              <w:t>,</w:t>
            </w:r>
            <w:r w:rsidR="003375FA">
              <w:rPr>
                <w:sz w:val="16"/>
              </w:rPr>
              <w:t>251</w:t>
            </w:r>
            <w:r w:rsidRPr="00750371">
              <w:rPr>
                <w:sz w:val="16"/>
              </w:rPr>
              <w:t>,</w:t>
            </w:r>
            <w:r w:rsidR="003375FA">
              <w:rPr>
                <w:sz w:val="16"/>
              </w:rPr>
              <w:t>521</w:t>
            </w:r>
            <w:r w:rsidR="003375FA" w:rsidRPr="00B80343">
              <w:rPr>
                <w:sz w:val="16"/>
              </w:rPr>
              <w:t xml:space="preserve"> </w:t>
            </w:r>
          </w:p>
        </w:tc>
      </w:tr>
      <w:tr w:rsidR="005C5040" w:rsidRPr="001B4A94" w14:paraId="30EEA6E8" w14:textId="77777777" w:rsidTr="005C5040">
        <w:trPr>
          <w:trHeight w:val="328"/>
        </w:trPr>
        <w:tc>
          <w:tcPr>
            <w:tcW w:w="1135" w:type="dxa"/>
            <w:tcBorders>
              <w:top w:val="single" w:sz="4" w:space="0" w:color="auto"/>
              <w:bottom w:val="single" w:sz="4" w:space="0" w:color="auto"/>
              <w:right w:val="single" w:sz="4" w:space="0" w:color="auto"/>
            </w:tcBorders>
            <w:vAlign w:val="center"/>
          </w:tcPr>
          <w:p w14:paraId="68086043" w14:textId="77777777" w:rsidR="005C5040" w:rsidRPr="008F6866" w:rsidRDefault="005C5040" w:rsidP="009574BD">
            <w:pPr>
              <w:jc w:val="center"/>
              <w:rPr>
                <w:sz w:val="16"/>
                <w:szCs w:val="16"/>
              </w:rPr>
            </w:pPr>
            <w:r w:rsidRPr="008F6866">
              <w:rPr>
                <w:sz w:val="16"/>
                <w:szCs w:val="16"/>
              </w:rPr>
              <w:t>Foreign Currency Liabilities</w:t>
            </w:r>
          </w:p>
        </w:tc>
        <w:tc>
          <w:tcPr>
            <w:tcW w:w="851" w:type="dxa"/>
            <w:tcBorders>
              <w:top w:val="single" w:sz="4" w:space="0" w:color="auto"/>
              <w:bottom w:val="single" w:sz="4" w:space="0" w:color="auto"/>
              <w:right w:val="single" w:sz="4" w:space="0" w:color="auto"/>
            </w:tcBorders>
            <w:vAlign w:val="bottom"/>
          </w:tcPr>
          <w:p w14:paraId="2461DE2E" w14:textId="084F5EB9" w:rsidR="005C5040" w:rsidRPr="00B80343" w:rsidRDefault="005C5040" w:rsidP="009574BD">
            <w:pPr>
              <w:jc w:val="right"/>
              <w:rPr>
                <w:sz w:val="16"/>
                <w:szCs w:val="16"/>
              </w:rPr>
            </w:pPr>
            <w:r w:rsidRPr="00B80343">
              <w:rPr>
                <w:sz w:val="16"/>
              </w:rPr>
              <w:t xml:space="preserve">              </w:t>
            </w:r>
            <w:r w:rsidR="003375FA">
              <w:rPr>
                <w:sz w:val="16"/>
              </w:rPr>
              <w:t>57</w:t>
            </w:r>
            <w:r w:rsidRPr="00B80343">
              <w:rPr>
                <w:sz w:val="16"/>
              </w:rPr>
              <w:t>,</w:t>
            </w:r>
            <w:r w:rsidR="003375FA">
              <w:rPr>
                <w:sz w:val="16"/>
              </w:rPr>
              <w:t>597</w:t>
            </w:r>
            <w:r w:rsidR="003375FA" w:rsidRPr="00B80343">
              <w:rPr>
                <w:sz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59955D81" w14:textId="03484778" w:rsidR="005C5040" w:rsidRPr="00B80343" w:rsidRDefault="003375FA" w:rsidP="009574BD">
            <w:pPr>
              <w:jc w:val="right"/>
              <w:rPr>
                <w:sz w:val="16"/>
                <w:szCs w:val="16"/>
              </w:rPr>
            </w:pPr>
            <w:r w:rsidRPr="00B80343">
              <w:rPr>
                <w:sz w:val="16"/>
              </w:rPr>
              <w:t xml:space="preserve">              </w:t>
            </w:r>
            <w:r>
              <w:rPr>
                <w:sz w:val="16"/>
              </w:rPr>
              <w:t>57</w:t>
            </w:r>
            <w:r w:rsidRPr="00B80343">
              <w:rPr>
                <w:sz w:val="16"/>
              </w:rPr>
              <w:t>,</w:t>
            </w:r>
            <w:r>
              <w:rPr>
                <w:sz w:val="16"/>
              </w:rPr>
              <w:t>597</w:t>
            </w:r>
          </w:p>
        </w:tc>
        <w:tc>
          <w:tcPr>
            <w:tcW w:w="851" w:type="dxa"/>
            <w:tcBorders>
              <w:top w:val="single" w:sz="4" w:space="0" w:color="auto"/>
              <w:left w:val="single" w:sz="4" w:space="0" w:color="auto"/>
              <w:bottom w:val="single" w:sz="4" w:space="0" w:color="auto"/>
              <w:right w:val="single" w:sz="4" w:space="0" w:color="auto"/>
            </w:tcBorders>
            <w:vAlign w:val="bottom"/>
          </w:tcPr>
          <w:p w14:paraId="5231130D" w14:textId="0C72B083" w:rsidR="005C5040" w:rsidRPr="00B80343" w:rsidRDefault="005C5040" w:rsidP="009574BD">
            <w:pPr>
              <w:jc w:val="right"/>
              <w:rPr>
                <w:sz w:val="16"/>
                <w:szCs w:val="16"/>
              </w:rPr>
            </w:pPr>
            <w:r w:rsidRPr="00B80343">
              <w:rPr>
                <w:sz w:val="16"/>
              </w:rPr>
              <w:t xml:space="preserve">       </w:t>
            </w:r>
            <w:r w:rsidR="003375FA">
              <w:rPr>
                <w:sz w:val="16"/>
              </w:rPr>
              <w:t>373</w:t>
            </w:r>
            <w:r w:rsidRPr="00B80343">
              <w:rPr>
                <w:sz w:val="16"/>
              </w:rPr>
              <w:t>,</w:t>
            </w:r>
            <w:r w:rsidR="003375FA">
              <w:rPr>
                <w:sz w:val="16"/>
              </w:rPr>
              <w:t>843</w:t>
            </w:r>
            <w:r w:rsidR="003375FA" w:rsidRPr="00B80343">
              <w:rPr>
                <w:sz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3FB4B6DC" w14:textId="26EA39C1" w:rsidR="005C5040" w:rsidRPr="00B80343" w:rsidRDefault="003375FA" w:rsidP="009574BD">
            <w:pPr>
              <w:jc w:val="right"/>
              <w:rPr>
                <w:sz w:val="16"/>
                <w:szCs w:val="16"/>
              </w:rPr>
            </w:pPr>
            <w:r>
              <w:rPr>
                <w:sz w:val="16"/>
              </w:rPr>
              <w:t>-</w:t>
            </w:r>
          </w:p>
        </w:tc>
        <w:tc>
          <w:tcPr>
            <w:tcW w:w="851" w:type="dxa"/>
            <w:tcBorders>
              <w:top w:val="single" w:sz="4" w:space="0" w:color="auto"/>
              <w:left w:val="single" w:sz="4" w:space="0" w:color="auto"/>
              <w:bottom w:val="single" w:sz="4" w:space="0" w:color="auto"/>
              <w:right w:val="single" w:sz="4" w:space="0" w:color="auto"/>
            </w:tcBorders>
            <w:vAlign w:val="bottom"/>
          </w:tcPr>
          <w:p w14:paraId="12D7E74C" w14:textId="65B58E51" w:rsidR="005C5040" w:rsidRPr="00B80343" w:rsidRDefault="005C5040" w:rsidP="009574BD">
            <w:pPr>
              <w:jc w:val="right"/>
              <w:rPr>
                <w:sz w:val="16"/>
                <w:szCs w:val="16"/>
              </w:rPr>
            </w:pPr>
            <w:r w:rsidRPr="00B80343">
              <w:rPr>
                <w:sz w:val="16"/>
              </w:rPr>
              <w:t xml:space="preserve">           </w:t>
            </w:r>
            <w:r w:rsidR="003375FA">
              <w:rPr>
                <w:sz w:val="16"/>
              </w:rPr>
              <w:t>4</w:t>
            </w:r>
            <w:r w:rsidRPr="00B80343">
              <w:rPr>
                <w:sz w:val="16"/>
              </w:rPr>
              <w:t>,</w:t>
            </w:r>
            <w:r w:rsidR="003375FA">
              <w:rPr>
                <w:sz w:val="16"/>
              </w:rPr>
              <w:t>208</w:t>
            </w:r>
            <w:r w:rsidR="003375FA" w:rsidRPr="00B80343">
              <w:rPr>
                <w:sz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7FD10C1F" w14:textId="395F6C1C" w:rsidR="005C5040" w:rsidRPr="00B80343" w:rsidRDefault="005C5040" w:rsidP="009574BD">
            <w:pPr>
              <w:jc w:val="right"/>
              <w:rPr>
                <w:sz w:val="16"/>
                <w:szCs w:val="16"/>
              </w:rPr>
            </w:pPr>
            <w:r w:rsidRPr="00B80343">
              <w:rPr>
                <w:sz w:val="16"/>
              </w:rPr>
              <w:t xml:space="preserve">         </w:t>
            </w:r>
            <w:r w:rsidR="003375FA">
              <w:rPr>
                <w:sz w:val="16"/>
              </w:rPr>
              <w:t>28</w:t>
            </w:r>
            <w:r w:rsidRPr="00B80343">
              <w:rPr>
                <w:sz w:val="16"/>
              </w:rPr>
              <w:t>,</w:t>
            </w:r>
            <w:r w:rsidR="003375FA">
              <w:rPr>
                <w:sz w:val="16"/>
              </w:rPr>
              <w:t>168</w:t>
            </w:r>
            <w:r w:rsidR="003375FA" w:rsidRPr="00B80343">
              <w:rPr>
                <w:sz w:val="16"/>
              </w:rPr>
              <w:t xml:space="preserve"> </w:t>
            </w:r>
          </w:p>
        </w:tc>
        <w:tc>
          <w:tcPr>
            <w:tcW w:w="851" w:type="dxa"/>
            <w:tcBorders>
              <w:top w:val="single" w:sz="4" w:space="0" w:color="auto"/>
              <w:left w:val="single" w:sz="4" w:space="0" w:color="auto"/>
              <w:bottom w:val="single" w:sz="4" w:space="0" w:color="auto"/>
              <w:right w:val="single" w:sz="4" w:space="0" w:color="auto"/>
            </w:tcBorders>
            <w:vAlign w:val="bottom"/>
          </w:tcPr>
          <w:p w14:paraId="11CB0656" w14:textId="08EE00F1" w:rsidR="005C5040" w:rsidRPr="00B80343" w:rsidRDefault="005C5040" w:rsidP="009574BD">
            <w:pPr>
              <w:jc w:val="right"/>
              <w:rPr>
                <w:sz w:val="16"/>
                <w:szCs w:val="16"/>
              </w:rPr>
            </w:pPr>
            <w:r w:rsidRPr="00B80343">
              <w:rPr>
                <w:sz w:val="16"/>
              </w:rPr>
              <w:t xml:space="preserve">                     </w:t>
            </w:r>
            <w:r>
              <w:rPr>
                <w:sz w:val="16"/>
              </w:rPr>
              <w:t>14,</w:t>
            </w:r>
            <w:r w:rsidR="003375FA">
              <w:rPr>
                <w:sz w:val="16"/>
              </w:rPr>
              <w:t>341</w:t>
            </w:r>
            <w:r w:rsidR="003375FA" w:rsidRPr="00B80343">
              <w:rPr>
                <w:sz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34BEDB7F" w14:textId="6D981095" w:rsidR="005C5040" w:rsidRPr="00B80343" w:rsidRDefault="005C5040" w:rsidP="009574BD">
            <w:pPr>
              <w:jc w:val="right"/>
              <w:rPr>
                <w:sz w:val="16"/>
                <w:szCs w:val="16"/>
              </w:rPr>
            </w:pPr>
            <w:r w:rsidRPr="00B80343">
              <w:rPr>
                <w:sz w:val="16"/>
              </w:rPr>
              <w:t xml:space="preserve">                  </w:t>
            </w:r>
            <w:r w:rsidR="003375FA">
              <w:rPr>
                <w:sz w:val="16"/>
              </w:rPr>
              <w:t>28</w:t>
            </w:r>
            <w:r>
              <w:rPr>
                <w:sz w:val="16"/>
              </w:rPr>
              <w:t>,</w:t>
            </w:r>
            <w:r w:rsidR="003375FA">
              <w:rPr>
                <w:sz w:val="16"/>
              </w:rPr>
              <w:t>463</w:t>
            </w:r>
            <w:r w:rsidR="003375FA" w:rsidRPr="00B80343">
              <w:rPr>
                <w:sz w:val="16"/>
              </w:rPr>
              <w:t xml:space="preserve">   </w:t>
            </w:r>
          </w:p>
        </w:tc>
        <w:tc>
          <w:tcPr>
            <w:tcW w:w="851" w:type="dxa"/>
            <w:tcBorders>
              <w:top w:val="single" w:sz="4" w:space="0" w:color="auto"/>
              <w:left w:val="single" w:sz="4" w:space="0" w:color="auto"/>
              <w:bottom w:val="single" w:sz="4" w:space="0" w:color="auto"/>
              <w:right w:val="single" w:sz="4" w:space="0" w:color="auto"/>
            </w:tcBorders>
            <w:vAlign w:val="bottom"/>
          </w:tcPr>
          <w:p w14:paraId="18F77134" w14:textId="72544863" w:rsidR="005C5040" w:rsidRPr="00B80343" w:rsidRDefault="005C5040" w:rsidP="009574BD">
            <w:pPr>
              <w:jc w:val="right"/>
              <w:rPr>
                <w:sz w:val="16"/>
                <w:szCs w:val="16"/>
              </w:rPr>
            </w:pPr>
            <w:r w:rsidRPr="00B80343">
              <w:rPr>
                <w:sz w:val="16"/>
              </w:rPr>
              <w:t xml:space="preserve">         </w:t>
            </w:r>
            <w:r w:rsidR="003375FA">
              <w:rPr>
                <w:sz w:val="16"/>
              </w:rPr>
              <w:t>257</w:t>
            </w:r>
            <w:r w:rsidRPr="00B80343">
              <w:rPr>
                <w:sz w:val="16"/>
              </w:rPr>
              <w:t>,</w:t>
            </w:r>
            <w:r w:rsidR="003375FA" w:rsidRPr="00B80343">
              <w:rPr>
                <w:sz w:val="16"/>
              </w:rPr>
              <w:t>3</w:t>
            </w:r>
            <w:r w:rsidR="003375FA">
              <w:rPr>
                <w:sz w:val="16"/>
              </w:rPr>
              <w:t>68</w:t>
            </w:r>
            <w:r w:rsidR="003375FA" w:rsidRPr="00B80343">
              <w:rPr>
                <w:sz w:val="16"/>
              </w:rPr>
              <w:t xml:space="preserve"> </w:t>
            </w:r>
          </w:p>
        </w:tc>
        <w:tc>
          <w:tcPr>
            <w:tcW w:w="708" w:type="dxa"/>
            <w:tcBorders>
              <w:top w:val="single" w:sz="4" w:space="0" w:color="auto"/>
              <w:left w:val="single" w:sz="4" w:space="0" w:color="auto"/>
              <w:bottom w:val="single" w:sz="4" w:space="0" w:color="auto"/>
              <w:right w:val="single" w:sz="4" w:space="0" w:color="auto"/>
            </w:tcBorders>
            <w:vAlign w:val="bottom"/>
          </w:tcPr>
          <w:p w14:paraId="67BE981A" w14:textId="77777777" w:rsidR="005C5040" w:rsidRPr="00B80343" w:rsidRDefault="005C5040" w:rsidP="009574BD">
            <w:pPr>
              <w:jc w:val="right"/>
              <w:rPr>
                <w:sz w:val="16"/>
                <w:szCs w:val="16"/>
              </w:rPr>
            </w:pPr>
            <w:r w:rsidRPr="00B80343">
              <w:rPr>
                <w:sz w:val="16"/>
              </w:rPr>
              <w:t xml:space="preserve">              -   </w:t>
            </w:r>
          </w:p>
        </w:tc>
        <w:tc>
          <w:tcPr>
            <w:tcW w:w="709" w:type="dxa"/>
            <w:tcBorders>
              <w:top w:val="single" w:sz="4" w:space="0" w:color="auto"/>
              <w:left w:val="single" w:sz="4" w:space="0" w:color="auto"/>
              <w:bottom w:val="single" w:sz="4" w:space="0" w:color="auto"/>
              <w:right w:val="single" w:sz="4" w:space="0" w:color="auto"/>
            </w:tcBorders>
            <w:vAlign w:val="bottom"/>
          </w:tcPr>
          <w:p w14:paraId="15DE10D6" w14:textId="77777777" w:rsidR="005C5040" w:rsidRPr="00B80343" w:rsidRDefault="005C5040" w:rsidP="009574BD">
            <w:pPr>
              <w:jc w:val="right"/>
              <w:rPr>
                <w:sz w:val="16"/>
                <w:szCs w:val="16"/>
              </w:rPr>
            </w:pPr>
            <w:r w:rsidRPr="00B80343">
              <w:rPr>
                <w:sz w:val="16"/>
              </w:rPr>
              <w:t xml:space="preserve">                    -   </w:t>
            </w:r>
          </w:p>
        </w:tc>
        <w:tc>
          <w:tcPr>
            <w:tcW w:w="956" w:type="dxa"/>
            <w:tcBorders>
              <w:top w:val="single" w:sz="4" w:space="0" w:color="auto"/>
              <w:left w:val="single" w:sz="4" w:space="0" w:color="auto"/>
              <w:bottom w:val="single" w:sz="4" w:space="0" w:color="auto"/>
            </w:tcBorders>
            <w:vAlign w:val="bottom"/>
          </w:tcPr>
          <w:p w14:paraId="0338B118" w14:textId="4A2E447A" w:rsidR="005C5040" w:rsidRPr="00B80343" w:rsidRDefault="005C5040" w:rsidP="009574BD">
            <w:pPr>
              <w:jc w:val="right"/>
              <w:rPr>
                <w:sz w:val="16"/>
                <w:szCs w:val="16"/>
              </w:rPr>
            </w:pPr>
            <w:r w:rsidRPr="00B80343">
              <w:rPr>
                <w:sz w:val="16"/>
              </w:rPr>
              <w:t xml:space="preserve">         </w:t>
            </w:r>
            <w:r w:rsidR="003375FA">
              <w:rPr>
                <w:sz w:val="16"/>
              </w:rPr>
              <w:t>821</w:t>
            </w:r>
            <w:r w:rsidRPr="00B80343">
              <w:rPr>
                <w:sz w:val="16"/>
              </w:rPr>
              <w:t>,</w:t>
            </w:r>
            <w:r w:rsidR="003375FA">
              <w:rPr>
                <w:sz w:val="16"/>
              </w:rPr>
              <w:t>585</w:t>
            </w:r>
            <w:r w:rsidR="003375FA" w:rsidRPr="00B80343">
              <w:rPr>
                <w:sz w:val="16"/>
              </w:rPr>
              <w:t xml:space="preserve"> </w:t>
            </w:r>
          </w:p>
        </w:tc>
      </w:tr>
    </w:tbl>
    <w:p w14:paraId="45C570F7" w14:textId="77777777" w:rsidR="005C5040" w:rsidRPr="00981466" w:rsidRDefault="005C5040" w:rsidP="00CB578D">
      <w:pPr>
        <w:tabs>
          <w:tab w:val="left" w:pos="1440"/>
        </w:tabs>
        <w:ind w:left="1440" w:right="-540" w:hanging="720"/>
        <w:rPr>
          <w:sz w:val="24"/>
          <w:szCs w:val="22"/>
        </w:rPr>
      </w:pPr>
    </w:p>
    <w:p w14:paraId="67EC5F1F" w14:textId="77777777" w:rsidR="00753AEB" w:rsidRPr="00981466" w:rsidRDefault="00CB578D" w:rsidP="00CB578D">
      <w:pPr>
        <w:ind w:right="-90"/>
        <w:jc w:val="right"/>
        <w:rPr>
          <w:sz w:val="24"/>
          <w:szCs w:val="22"/>
        </w:rPr>
      </w:pPr>
      <w:r w:rsidRPr="00981466">
        <w:rPr>
          <w:sz w:val="24"/>
          <w:szCs w:val="22"/>
        </w:rPr>
        <w:t xml:space="preserve">           </w:t>
      </w:r>
    </w:p>
    <w:p w14:paraId="720A06AB" w14:textId="77777777" w:rsidR="00EC07BA" w:rsidRPr="00981466" w:rsidRDefault="00EC07BA" w:rsidP="00981466">
      <w:pPr>
        <w:tabs>
          <w:tab w:val="left" w:pos="1440"/>
        </w:tabs>
        <w:ind w:left="1440" w:hanging="720"/>
        <w:rPr>
          <w:sz w:val="24"/>
          <w:szCs w:val="22"/>
        </w:rPr>
      </w:pPr>
      <w:r w:rsidRPr="00981466">
        <w:rPr>
          <w:sz w:val="24"/>
          <w:szCs w:val="22"/>
        </w:rPr>
        <w:t>(e)</w:t>
      </w:r>
      <w:r w:rsidRPr="00981466">
        <w:rPr>
          <w:sz w:val="24"/>
          <w:szCs w:val="22"/>
        </w:rPr>
        <w:tab/>
        <w:t>Amount of Gross NPAs</w:t>
      </w:r>
      <w:r w:rsidRP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t xml:space="preserve">  </w:t>
      </w:r>
      <w:r w:rsidR="00981466" w:rsidRPr="00981466">
        <w:rPr>
          <w:sz w:val="24"/>
          <w:szCs w:val="22"/>
        </w:rPr>
        <w:t xml:space="preserve">    </w:t>
      </w:r>
      <w:r w:rsidR="00CB578D" w:rsidRPr="00981466">
        <w:rPr>
          <w:sz w:val="24"/>
          <w:szCs w:val="22"/>
        </w:rPr>
        <w:t>(</w:t>
      </w:r>
      <w:r w:rsidR="002B2C1E" w:rsidRPr="00981466">
        <w:rPr>
          <w:sz w:val="24"/>
          <w:szCs w:val="22"/>
        </w:rPr>
        <w:t xml:space="preserve">In </w:t>
      </w:r>
      <w:r w:rsidR="00CB578D" w:rsidRPr="00981466">
        <w:rPr>
          <w:sz w:val="24"/>
          <w:szCs w:val="22"/>
        </w:rPr>
        <w:t>Rs.000’s)</w:t>
      </w:r>
    </w:p>
    <w:tbl>
      <w:tblPr>
        <w:tblW w:w="4167" w:type="pct"/>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1612"/>
      </w:tblGrid>
      <w:tr w:rsidR="00AF141A" w:rsidRPr="00981466" w14:paraId="1EA3925A" w14:textId="77777777" w:rsidTr="00981466">
        <w:trPr>
          <w:trHeight w:val="300"/>
        </w:trPr>
        <w:tc>
          <w:tcPr>
            <w:tcW w:w="4004" w:type="pct"/>
            <w:shd w:val="clear" w:color="auto" w:fill="auto"/>
            <w:noWrap/>
            <w:vAlign w:val="center"/>
            <w:hideMark/>
          </w:tcPr>
          <w:p w14:paraId="05AEC93B" w14:textId="77777777" w:rsidR="0066137A" w:rsidRPr="00981466" w:rsidRDefault="0066137A" w:rsidP="0066137A">
            <w:pPr>
              <w:overflowPunct/>
              <w:autoSpaceDE/>
              <w:autoSpaceDN/>
              <w:adjustRightInd/>
              <w:textAlignment w:val="auto"/>
              <w:rPr>
                <w:color w:val="000000"/>
                <w:sz w:val="24"/>
                <w:szCs w:val="22"/>
                <w:lang w:val="en-CA" w:eastAsia="en-CA"/>
              </w:rPr>
            </w:pPr>
            <w:r w:rsidRPr="00981466">
              <w:rPr>
                <w:color w:val="000000"/>
                <w:sz w:val="24"/>
                <w:szCs w:val="22"/>
                <w:lang w:eastAsia="en-CA"/>
              </w:rPr>
              <w:t>Substandard</w:t>
            </w:r>
          </w:p>
        </w:tc>
        <w:tc>
          <w:tcPr>
            <w:tcW w:w="996" w:type="pct"/>
            <w:shd w:val="clear" w:color="auto" w:fill="auto"/>
            <w:noWrap/>
            <w:vAlign w:val="center"/>
          </w:tcPr>
          <w:p w14:paraId="1D6AA0B2" w14:textId="77777777" w:rsidR="0066137A" w:rsidRPr="00981466" w:rsidRDefault="009A5D98" w:rsidP="00CA0442">
            <w:pPr>
              <w:overflowPunct/>
              <w:autoSpaceDE/>
              <w:autoSpaceDN/>
              <w:adjustRightInd/>
              <w:jc w:val="right"/>
              <w:textAlignment w:val="auto"/>
              <w:rPr>
                <w:color w:val="000000"/>
                <w:sz w:val="24"/>
                <w:szCs w:val="22"/>
                <w:lang w:val="en-CA" w:eastAsia="en-CA"/>
              </w:rPr>
            </w:pPr>
            <w:r w:rsidRPr="00981466">
              <w:rPr>
                <w:color w:val="000000"/>
                <w:sz w:val="24"/>
                <w:szCs w:val="22"/>
                <w:lang w:val="en-CA" w:eastAsia="en-CA"/>
              </w:rPr>
              <w:t>-</w:t>
            </w:r>
          </w:p>
        </w:tc>
      </w:tr>
      <w:tr w:rsidR="00922707" w:rsidRPr="00981466" w14:paraId="1A96FD94" w14:textId="77777777" w:rsidTr="00981466">
        <w:trPr>
          <w:trHeight w:val="300"/>
        </w:trPr>
        <w:tc>
          <w:tcPr>
            <w:tcW w:w="4004" w:type="pct"/>
            <w:shd w:val="clear" w:color="auto" w:fill="auto"/>
            <w:noWrap/>
            <w:vAlign w:val="center"/>
            <w:hideMark/>
          </w:tcPr>
          <w:p w14:paraId="04323754" w14:textId="77777777" w:rsidR="00922707" w:rsidRPr="00981466" w:rsidRDefault="00922707" w:rsidP="0066137A">
            <w:pPr>
              <w:overflowPunct/>
              <w:autoSpaceDE/>
              <w:autoSpaceDN/>
              <w:adjustRightInd/>
              <w:textAlignment w:val="auto"/>
              <w:rPr>
                <w:color w:val="000000"/>
                <w:sz w:val="24"/>
                <w:szCs w:val="22"/>
                <w:lang w:val="en-CA" w:eastAsia="en-CA"/>
              </w:rPr>
            </w:pPr>
            <w:r w:rsidRPr="00981466">
              <w:rPr>
                <w:color w:val="000000"/>
                <w:sz w:val="24"/>
                <w:szCs w:val="22"/>
                <w:lang w:eastAsia="en-CA"/>
              </w:rPr>
              <w:t>Doubtful 1</w:t>
            </w:r>
          </w:p>
        </w:tc>
        <w:tc>
          <w:tcPr>
            <w:tcW w:w="996" w:type="pct"/>
            <w:shd w:val="clear" w:color="auto" w:fill="auto"/>
            <w:noWrap/>
            <w:vAlign w:val="center"/>
          </w:tcPr>
          <w:p w14:paraId="15814093" w14:textId="77777777" w:rsidR="0068672A" w:rsidRPr="00981466" w:rsidRDefault="000A66FF" w:rsidP="0068672A">
            <w:pPr>
              <w:overflowPunct/>
              <w:autoSpaceDE/>
              <w:autoSpaceDN/>
              <w:adjustRightInd/>
              <w:jc w:val="right"/>
              <w:textAlignment w:val="auto"/>
              <w:rPr>
                <w:color w:val="000000"/>
                <w:sz w:val="24"/>
                <w:szCs w:val="22"/>
                <w:lang w:eastAsia="en-CA"/>
              </w:rPr>
            </w:pPr>
            <w:r>
              <w:rPr>
                <w:color w:val="000000"/>
                <w:sz w:val="24"/>
                <w:szCs w:val="22"/>
                <w:lang w:eastAsia="en-CA"/>
              </w:rPr>
              <w:t>-</w:t>
            </w:r>
          </w:p>
        </w:tc>
      </w:tr>
      <w:tr w:rsidR="00922707" w:rsidRPr="00981466" w14:paraId="194E314C" w14:textId="77777777" w:rsidTr="00981466">
        <w:trPr>
          <w:trHeight w:val="300"/>
        </w:trPr>
        <w:tc>
          <w:tcPr>
            <w:tcW w:w="4004" w:type="pct"/>
            <w:shd w:val="clear" w:color="auto" w:fill="auto"/>
            <w:noWrap/>
            <w:vAlign w:val="center"/>
            <w:hideMark/>
          </w:tcPr>
          <w:p w14:paraId="2D8AD6C1" w14:textId="77777777" w:rsidR="00922707" w:rsidRPr="00981466" w:rsidRDefault="00922707" w:rsidP="0066137A">
            <w:pPr>
              <w:overflowPunct/>
              <w:autoSpaceDE/>
              <w:autoSpaceDN/>
              <w:adjustRightInd/>
              <w:textAlignment w:val="auto"/>
              <w:rPr>
                <w:color w:val="000000"/>
                <w:sz w:val="24"/>
                <w:szCs w:val="22"/>
                <w:lang w:val="en-CA" w:eastAsia="en-CA"/>
              </w:rPr>
            </w:pPr>
            <w:r w:rsidRPr="00981466">
              <w:rPr>
                <w:color w:val="000000"/>
                <w:sz w:val="24"/>
                <w:szCs w:val="22"/>
                <w:lang w:eastAsia="en-CA"/>
              </w:rPr>
              <w:t>Doubtful 2</w:t>
            </w:r>
          </w:p>
        </w:tc>
        <w:tc>
          <w:tcPr>
            <w:tcW w:w="996" w:type="pct"/>
            <w:shd w:val="clear" w:color="auto" w:fill="auto"/>
            <w:noWrap/>
            <w:vAlign w:val="center"/>
          </w:tcPr>
          <w:p w14:paraId="425D8899" w14:textId="77777777" w:rsidR="00922707" w:rsidRPr="00981466" w:rsidRDefault="0068672A" w:rsidP="0052645E">
            <w:pPr>
              <w:overflowPunct/>
              <w:autoSpaceDE/>
              <w:autoSpaceDN/>
              <w:adjustRightInd/>
              <w:jc w:val="right"/>
              <w:textAlignment w:val="auto"/>
              <w:rPr>
                <w:color w:val="000000"/>
                <w:sz w:val="24"/>
                <w:szCs w:val="22"/>
                <w:lang w:val="en-CA" w:eastAsia="en-CA"/>
              </w:rPr>
            </w:pPr>
            <w:r w:rsidRPr="00981466">
              <w:rPr>
                <w:color w:val="000000"/>
                <w:sz w:val="24"/>
                <w:szCs w:val="22"/>
                <w:lang w:eastAsia="en-CA"/>
              </w:rPr>
              <w:t>-</w:t>
            </w:r>
            <w:r w:rsidR="00922707" w:rsidRPr="00981466">
              <w:rPr>
                <w:color w:val="000000"/>
                <w:sz w:val="24"/>
                <w:szCs w:val="22"/>
                <w:lang w:eastAsia="en-CA"/>
              </w:rPr>
              <w:t xml:space="preserve">                                                                                                                       </w:t>
            </w:r>
          </w:p>
        </w:tc>
      </w:tr>
      <w:tr w:rsidR="00922707" w:rsidRPr="00981466" w14:paraId="62385DC7" w14:textId="77777777" w:rsidTr="00981466">
        <w:trPr>
          <w:trHeight w:val="300"/>
        </w:trPr>
        <w:tc>
          <w:tcPr>
            <w:tcW w:w="4004" w:type="pct"/>
            <w:shd w:val="clear" w:color="auto" w:fill="auto"/>
            <w:noWrap/>
            <w:vAlign w:val="center"/>
            <w:hideMark/>
          </w:tcPr>
          <w:p w14:paraId="67C5F0AC" w14:textId="77777777" w:rsidR="00922707" w:rsidRPr="00981466" w:rsidRDefault="00922707" w:rsidP="0066137A">
            <w:pPr>
              <w:overflowPunct/>
              <w:autoSpaceDE/>
              <w:autoSpaceDN/>
              <w:adjustRightInd/>
              <w:textAlignment w:val="auto"/>
              <w:rPr>
                <w:color w:val="000000"/>
                <w:sz w:val="24"/>
                <w:szCs w:val="22"/>
                <w:lang w:val="en-CA" w:eastAsia="en-CA"/>
              </w:rPr>
            </w:pPr>
            <w:r w:rsidRPr="00981466">
              <w:rPr>
                <w:color w:val="000000"/>
                <w:sz w:val="24"/>
                <w:szCs w:val="22"/>
                <w:lang w:eastAsia="en-CA"/>
              </w:rPr>
              <w:t>Doubtful 3</w:t>
            </w:r>
          </w:p>
        </w:tc>
        <w:tc>
          <w:tcPr>
            <w:tcW w:w="996" w:type="pct"/>
            <w:shd w:val="clear" w:color="auto" w:fill="auto"/>
            <w:noWrap/>
            <w:vAlign w:val="center"/>
            <w:hideMark/>
          </w:tcPr>
          <w:p w14:paraId="2FAEDBF0" w14:textId="6EFCA851" w:rsidR="00922707" w:rsidRPr="00981466" w:rsidRDefault="00A84575" w:rsidP="000A66FF">
            <w:pPr>
              <w:overflowPunct/>
              <w:autoSpaceDE/>
              <w:autoSpaceDN/>
              <w:adjustRightInd/>
              <w:jc w:val="right"/>
              <w:textAlignment w:val="auto"/>
              <w:rPr>
                <w:color w:val="000000"/>
                <w:sz w:val="24"/>
                <w:szCs w:val="22"/>
                <w:lang w:val="en-CA" w:eastAsia="en-CA"/>
              </w:rPr>
            </w:pPr>
            <w:r>
              <w:rPr>
                <w:color w:val="000000"/>
                <w:sz w:val="24"/>
                <w:szCs w:val="22"/>
                <w:lang w:val="en-CA" w:eastAsia="en-CA"/>
              </w:rPr>
              <w:t>635</w:t>
            </w:r>
            <w:r w:rsidR="0068672A" w:rsidRPr="00981466">
              <w:rPr>
                <w:color w:val="000000"/>
                <w:sz w:val="24"/>
                <w:szCs w:val="22"/>
                <w:lang w:val="en-CA" w:eastAsia="en-CA"/>
              </w:rPr>
              <w:t>,</w:t>
            </w:r>
            <w:r w:rsidR="000E1CB9">
              <w:rPr>
                <w:color w:val="000000"/>
                <w:sz w:val="24"/>
                <w:szCs w:val="22"/>
                <w:lang w:val="en-CA" w:eastAsia="en-CA"/>
              </w:rPr>
              <w:t>243</w:t>
            </w:r>
          </w:p>
        </w:tc>
      </w:tr>
      <w:tr w:rsidR="00922707" w:rsidRPr="00981466" w14:paraId="63202DA7" w14:textId="77777777" w:rsidTr="00981466">
        <w:trPr>
          <w:trHeight w:val="300"/>
        </w:trPr>
        <w:tc>
          <w:tcPr>
            <w:tcW w:w="4004" w:type="pct"/>
            <w:shd w:val="clear" w:color="auto" w:fill="auto"/>
            <w:noWrap/>
            <w:vAlign w:val="center"/>
            <w:hideMark/>
          </w:tcPr>
          <w:p w14:paraId="27728219" w14:textId="77777777" w:rsidR="00922707" w:rsidRPr="00981466" w:rsidRDefault="00922707" w:rsidP="0066137A">
            <w:pPr>
              <w:overflowPunct/>
              <w:autoSpaceDE/>
              <w:autoSpaceDN/>
              <w:adjustRightInd/>
              <w:textAlignment w:val="auto"/>
              <w:rPr>
                <w:color w:val="000000"/>
                <w:sz w:val="24"/>
                <w:szCs w:val="22"/>
                <w:lang w:val="en-CA" w:eastAsia="en-CA"/>
              </w:rPr>
            </w:pPr>
            <w:r w:rsidRPr="00981466">
              <w:rPr>
                <w:color w:val="000000"/>
                <w:sz w:val="24"/>
                <w:szCs w:val="22"/>
                <w:lang w:eastAsia="en-CA"/>
              </w:rPr>
              <w:t>Loss</w:t>
            </w:r>
          </w:p>
        </w:tc>
        <w:tc>
          <w:tcPr>
            <w:tcW w:w="996" w:type="pct"/>
            <w:shd w:val="clear" w:color="auto" w:fill="auto"/>
            <w:noWrap/>
            <w:vAlign w:val="center"/>
            <w:hideMark/>
          </w:tcPr>
          <w:p w14:paraId="6EF5B4A6" w14:textId="77777777" w:rsidR="00922707" w:rsidRPr="00981466" w:rsidRDefault="00922707" w:rsidP="00CA0442">
            <w:pPr>
              <w:overflowPunct/>
              <w:autoSpaceDE/>
              <w:autoSpaceDN/>
              <w:adjustRightInd/>
              <w:jc w:val="right"/>
              <w:textAlignment w:val="auto"/>
              <w:rPr>
                <w:color w:val="000000"/>
                <w:sz w:val="24"/>
                <w:szCs w:val="22"/>
                <w:lang w:val="en-CA" w:eastAsia="en-CA"/>
              </w:rPr>
            </w:pPr>
            <w:r w:rsidRPr="00981466">
              <w:rPr>
                <w:color w:val="000000"/>
                <w:sz w:val="24"/>
                <w:szCs w:val="22"/>
                <w:lang w:eastAsia="en-CA"/>
              </w:rPr>
              <w:t xml:space="preserve">-                                                                                                                                        </w:t>
            </w:r>
          </w:p>
        </w:tc>
      </w:tr>
      <w:tr w:rsidR="00922707" w:rsidRPr="00981466" w14:paraId="791B6813" w14:textId="77777777" w:rsidTr="00981466">
        <w:trPr>
          <w:trHeight w:val="87"/>
        </w:trPr>
        <w:tc>
          <w:tcPr>
            <w:tcW w:w="4004" w:type="pct"/>
            <w:shd w:val="clear" w:color="auto" w:fill="auto"/>
            <w:noWrap/>
            <w:vAlign w:val="center"/>
            <w:hideMark/>
          </w:tcPr>
          <w:p w14:paraId="6484487E" w14:textId="77777777" w:rsidR="00922707" w:rsidRPr="00981466" w:rsidRDefault="00922707" w:rsidP="0066137A">
            <w:pPr>
              <w:overflowPunct/>
              <w:autoSpaceDE/>
              <w:autoSpaceDN/>
              <w:adjustRightInd/>
              <w:textAlignment w:val="auto"/>
              <w:rPr>
                <w:color w:val="000000"/>
                <w:sz w:val="24"/>
                <w:szCs w:val="22"/>
                <w:lang w:val="en-CA" w:eastAsia="en-CA"/>
              </w:rPr>
            </w:pPr>
            <w:r w:rsidRPr="00981466">
              <w:rPr>
                <w:color w:val="000000"/>
                <w:sz w:val="24"/>
                <w:szCs w:val="22"/>
                <w:lang w:eastAsia="en-CA"/>
              </w:rPr>
              <w:t>Gross NPA</w:t>
            </w:r>
          </w:p>
        </w:tc>
        <w:tc>
          <w:tcPr>
            <w:tcW w:w="996" w:type="pct"/>
            <w:shd w:val="clear" w:color="auto" w:fill="auto"/>
            <w:noWrap/>
            <w:vAlign w:val="center"/>
            <w:hideMark/>
          </w:tcPr>
          <w:p w14:paraId="41DDE809" w14:textId="2EF27E80" w:rsidR="00922707" w:rsidRPr="00981466" w:rsidRDefault="00A84575" w:rsidP="00CA0442">
            <w:pPr>
              <w:overflowPunct/>
              <w:autoSpaceDE/>
              <w:autoSpaceDN/>
              <w:adjustRightInd/>
              <w:jc w:val="right"/>
              <w:textAlignment w:val="auto"/>
              <w:rPr>
                <w:color w:val="000000"/>
                <w:sz w:val="24"/>
                <w:szCs w:val="22"/>
                <w:lang w:val="en-CA" w:eastAsia="en-CA"/>
              </w:rPr>
            </w:pPr>
            <w:r>
              <w:rPr>
                <w:color w:val="000000"/>
                <w:sz w:val="24"/>
                <w:szCs w:val="22"/>
                <w:lang w:val="en-CA" w:eastAsia="en-CA"/>
              </w:rPr>
              <w:t>635</w:t>
            </w:r>
            <w:r w:rsidR="000A66FF" w:rsidRPr="00981466">
              <w:rPr>
                <w:color w:val="000000"/>
                <w:sz w:val="24"/>
                <w:szCs w:val="22"/>
                <w:lang w:val="en-CA" w:eastAsia="en-CA"/>
              </w:rPr>
              <w:t>,</w:t>
            </w:r>
            <w:r w:rsidR="000E1CB9">
              <w:rPr>
                <w:color w:val="000000"/>
                <w:sz w:val="24"/>
                <w:szCs w:val="22"/>
                <w:lang w:val="en-CA" w:eastAsia="en-CA"/>
              </w:rPr>
              <w:t>243</w:t>
            </w:r>
          </w:p>
        </w:tc>
      </w:tr>
    </w:tbl>
    <w:p w14:paraId="2B7493B2" w14:textId="77777777" w:rsidR="002D6597" w:rsidRPr="00981466" w:rsidRDefault="002D6597" w:rsidP="007F1B33">
      <w:pPr>
        <w:tabs>
          <w:tab w:val="left" w:pos="1440"/>
        </w:tabs>
        <w:rPr>
          <w:sz w:val="24"/>
          <w:szCs w:val="22"/>
        </w:rPr>
      </w:pPr>
    </w:p>
    <w:p w14:paraId="3252D1A2" w14:textId="77777777" w:rsidR="00EC07BA" w:rsidRPr="00981466" w:rsidRDefault="00EC07BA" w:rsidP="00EC07BA">
      <w:pPr>
        <w:tabs>
          <w:tab w:val="left" w:pos="1440"/>
        </w:tabs>
        <w:ind w:left="1440" w:hanging="720"/>
        <w:rPr>
          <w:sz w:val="24"/>
          <w:szCs w:val="22"/>
        </w:rPr>
      </w:pPr>
      <w:r w:rsidRPr="00981466">
        <w:rPr>
          <w:sz w:val="24"/>
          <w:szCs w:val="22"/>
        </w:rPr>
        <w:t>(f)</w:t>
      </w:r>
      <w:r w:rsidRPr="00981466">
        <w:rPr>
          <w:sz w:val="24"/>
          <w:szCs w:val="22"/>
        </w:rPr>
        <w:tab/>
        <w:t xml:space="preserve">Net NPAs – </w:t>
      </w:r>
      <w:r w:rsidR="00B3005A" w:rsidRPr="00981466">
        <w:rPr>
          <w:sz w:val="24"/>
          <w:szCs w:val="22"/>
        </w:rPr>
        <w:t>NIL</w:t>
      </w:r>
      <w:r w:rsidRPr="00981466">
        <w:rPr>
          <w:sz w:val="24"/>
          <w:szCs w:val="22"/>
        </w:rPr>
        <w:t xml:space="preserve"> </w:t>
      </w:r>
    </w:p>
    <w:p w14:paraId="2E40EFA5" w14:textId="77777777" w:rsidR="00EC07BA" w:rsidRPr="00981466" w:rsidRDefault="00EC07BA" w:rsidP="007F1B33">
      <w:pPr>
        <w:tabs>
          <w:tab w:val="left" w:pos="1440"/>
        </w:tabs>
        <w:rPr>
          <w:sz w:val="24"/>
          <w:szCs w:val="22"/>
        </w:rPr>
      </w:pPr>
      <w:r w:rsidRPr="00981466">
        <w:rPr>
          <w:sz w:val="24"/>
          <w:szCs w:val="22"/>
        </w:rPr>
        <w:tab/>
      </w:r>
    </w:p>
    <w:p w14:paraId="0C3664D6" w14:textId="77777777" w:rsidR="00EC07BA" w:rsidRPr="00981466" w:rsidRDefault="00EC07BA" w:rsidP="00981466">
      <w:pPr>
        <w:tabs>
          <w:tab w:val="left" w:pos="1440"/>
        </w:tabs>
        <w:ind w:left="1440" w:hanging="720"/>
        <w:rPr>
          <w:sz w:val="24"/>
          <w:szCs w:val="22"/>
        </w:rPr>
      </w:pPr>
      <w:r w:rsidRPr="00981466">
        <w:rPr>
          <w:sz w:val="24"/>
          <w:szCs w:val="22"/>
        </w:rPr>
        <w:t>(g)</w:t>
      </w:r>
      <w:r w:rsidRPr="00981466">
        <w:rPr>
          <w:sz w:val="24"/>
          <w:szCs w:val="22"/>
        </w:rPr>
        <w:tab/>
        <w:t>NPA Ratios</w:t>
      </w:r>
      <w:r w:rsidRPr="00981466">
        <w:rPr>
          <w:sz w:val="24"/>
          <w:szCs w:val="22"/>
        </w:rPr>
        <w:tab/>
      </w: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gridCol w:w="1890"/>
      </w:tblGrid>
      <w:tr w:rsidR="00544C8E" w:rsidRPr="00981466" w14:paraId="54A1583C" w14:textId="77777777" w:rsidTr="00981466">
        <w:trPr>
          <w:trHeight w:val="300"/>
        </w:trPr>
        <w:tc>
          <w:tcPr>
            <w:tcW w:w="6390" w:type="dxa"/>
            <w:shd w:val="clear" w:color="auto" w:fill="auto"/>
            <w:noWrap/>
            <w:vAlign w:val="center"/>
            <w:hideMark/>
          </w:tcPr>
          <w:p w14:paraId="1DC71BB1" w14:textId="77777777" w:rsidR="00544C8E" w:rsidRPr="00981466" w:rsidRDefault="00544C8E"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Gross NPAs to Gross Advances</w:t>
            </w:r>
          </w:p>
        </w:tc>
        <w:tc>
          <w:tcPr>
            <w:tcW w:w="1890" w:type="dxa"/>
            <w:shd w:val="clear" w:color="auto" w:fill="auto"/>
            <w:noWrap/>
            <w:vAlign w:val="center"/>
            <w:hideMark/>
          </w:tcPr>
          <w:p w14:paraId="7A7E26BF" w14:textId="0AEAAD8E" w:rsidR="00544C8E" w:rsidRPr="00981466" w:rsidRDefault="00DE2C60" w:rsidP="000A66FF">
            <w:pPr>
              <w:overflowPunct/>
              <w:autoSpaceDE/>
              <w:autoSpaceDN/>
              <w:adjustRightInd/>
              <w:jc w:val="right"/>
              <w:textAlignment w:val="auto"/>
              <w:rPr>
                <w:color w:val="000000"/>
                <w:sz w:val="24"/>
                <w:szCs w:val="22"/>
                <w:lang w:val="en-CA" w:eastAsia="en-CA"/>
              </w:rPr>
            </w:pPr>
            <w:r>
              <w:rPr>
                <w:color w:val="000000"/>
                <w:sz w:val="24"/>
                <w:szCs w:val="22"/>
                <w:lang w:eastAsia="en-CA"/>
              </w:rPr>
              <w:t>8</w:t>
            </w:r>
            <w:r w:rsidR="00AA06AE">
              <w:rPr>
                <w:color w:val="000000"/>
                <w:sz w:val="24"/>
                <w:szCs w:val="22"/>
                <w:lang w:eastAsia="en-CA"/>
              </w:rPr>
              <w:t>.</w:t>
            </w:r>
            <w:r>
              <w:rPr>
                <w:color w:val="000000"/>
                <w:sz w:val="24"/>
                <w:szCs w:val="22"/>
                <w:lang w:eastAsia="en-CA"/>
              </w:rPr>
              <w:t>00</w:t>
            </w:r>
            <w:r w:rsidR="00753AEB" w:rsidRPr="00981466">
              <w:rPr>
                <w:color w:val="000000"/>
                <w:sz w:val="24"/>
                <w:szCs w:val="22"/>
                <w:lang w:eastAsia="en-CA"/>
              </w:rPr>
              <w:t>%</w:t>
            </w:r>
          </w:p>
        </w:tc>
      </w:tr>
      <w:tr w:rsidR="00544C8E" w:rsidRPr="00981466" w14:paraId="32FEE18B" w14:textId="77777777" w:rsidTr="00981466">
        <w:trPr>
          <w:trHeight w:val="300"/>
        </w:trPr>
        <w:tc>
          <w:tcPr>
            <w:tcW w:w="6390" w:type="dxa"/>
            <w:shd w:val="clear" w:color="auto" w:fill="auto"/>
            <w:noWrap/>
            <w:vAlign w:val="center"/>
            <w:hideMark/>
          </w:tcPr>
          <w:p w14:paraId="4CC2D089" w14:textId="77777777" w:rsidR="00544C8E" w:rsidRPr="00981466" w:rsidRDefault="00544C8E"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Net NPAs to Net Advances</w:t>
            </w:r>
          </w:p>
        </w:tc>
        <w:tc>
          <w:tcPr>
            <w:tcW w:w="1890" w:type="dxa"/>
            <w:shd w:val="clear" w:color="auto" w:fill="auto"/>
            <w:noWrap/>
            <w:vAlign w:val="center"/>
            <w:hideMark/>
          </w:tcPr>
          <w:p w14:paraId="68C6F055" w14:textId="6810D1BD" w:rsidR="00544C8E" w:rsidRPr="00981466" w:rsidRDefault="00FC77C9" w:rsidP="00753AEB">
            <w:pPr>
              <w:overflowPunct/>
              <w:autoSpaceDE/>
              <w:autoSpaceDN/>
              <w:adjustRightInd/>
              <w:jc w:val="right"/>
              <w:textAlignment w:val="auto"/>
              <w:rPr>
                <w:color w:val="000000"/>
                <w:sz w:val="24"/>
                <w:szCs w:val="22"/>
                <w:lang w:val="en-CA" w:eastAsia="en-CA"/>
              </w:rPr>
            </w:pPr>
            <w:r>
              <w:rPr>
                <w:color w:val="000000"/>
                <w:sz w:val="24"/>
                <w:szCs w:val="22"/>
                <w:lang w:eastAsia="en-CA"/>
              </w:rPr>
              <w:t>0.00%</w:t>
            </w:r>
          </w:p>
        </w:tc>
      </w:tr>
    </w:tbl>
    <w:p w14:paraId="771F6437" w14:textId="77777777" w:rsidR="00CA0442" w:rsidRPr="00981466" w:rsidRDefault="00CA0442" w:rsidP="00CA0442">
      <w:pPr>
        <w:tabs>
          <w:tab w:val="left" w:pos="1440"/>
        </w:tabs>
        <w:rPr>
          <w:sz w:val="24"/>
          <w:szCs w:val="22"/>
        </w:rPr>
      </w:pPr>
    </w:p>
    <w:p w14:paraId="0A548034" w14:textId="77777777" w:rsidR="00EC07BA" w:rsidRPr="00981466" w:rsidRDefault="00CA0442" w:rsidP="00981466">
      <w:pPr>
        <w:tabs>
          <w:tab w:val="left" w:pos="1440"/>
        </w:tabs>
        <w:ind w:right="-90"/>
        <w:rPr>
          <w:sz w:val="24"/>
          <w:szCs w:val="22"/>
        </w:rPr>
      </w:pPr>
      <w:r w:rsidRPr="00981466">
        <w:rPr>
          <w:sz w:val="24"/>
          <w:szCs w:val="22"/>
        </w:rPr>
        <w:t xml:space="preserve">             </w:t>
      </w:r>
      <w:r w:rsidR="00EC07BA" w:rsidRPr="00981466">
        <w:rPr>
          <w:sz w:val="24"/>
          <w:szCs w:val="22"/>
        </w:rPr>
        <w:t>(h)</w:t>
      </w:r>
      <w:r w:rsidR="00EC07BA" w:rsidRPr="00981466">
        <w:rPr>
          <w:sz w:val="24"/>
          <w:szCs w:val="22"/>
        </w:rPr>
        <w:tab/>
        <w:t>Movement in NPAs (Gross)</w:t>
      </w:r>
      <w:r w:rsidR="0074533B" w:rsidRPr="00981466">
        <w:rPr>
          <w:sz w:val="24"/>
          <w:szCs w:val="22"/>
        </w:rPr>
        <w:tab/>
      </w:r>
      <w:r w:rsidR="0074533B" w:rsidRPr="00981466">
        <w:rPr>
          <w:sz w:val="24"/>
          <w:szCs w:val="22"/>
        </w:rPr>
        <w:tab/>
      </w:r>
      <w:r w:rsidR="002F4559" w:rsidRPr="00981466">
        <w:rPr>
          <w:sz w:val="24"/>
          <w:szCs w:val="22"/>
        </w:rPr>
        <w:t xml:space="preserve">            </w:t>
      </w:r>
      <w:r w:rsidR="00981466">
        <w:rPr>
          <w:sz w:val="24"/>
          <w:szCs w:val="22"/>
        </w:rPr>
        <w:t xml:space="preserve">        </w:t>
      </w:r>
      <w:r w:rsidR="0074533B" w:rsidRPr="00981466">
        <w:rPr>
          <w:sz w:val="24"/>
          <w:szCs w:val="22"/>
        </w:rPr>
        <w:t xml:space="preserve">                                          </w:t>
      </w:r>
      <w:r w:rsidR="00026E1D" w:rsidRPr="00981466">
        <w:rPr>
          <w:sz w:val="24"/>
          <w:szCs w:val="22"/>
        </w:rPr>
        <w:t xml:space="preserve"> </w:t>
      </w:r>
      <w:r w:rsidR="0074533B" w:rsidRPr="00981466">
        <w:rPr>
          <w:sz w:val="24"/>
          <w:szCs w:val="22"/>
        </w:rPr>
        <w:t xml:space="preserve"> (</w:t>
      </w:r>
      <w:r w:rsidR="002B2C1E" w:rsidRPr="00981466">
        <w:rPr>
          <w:sz w:val="24"/>
          <w:szCs w:val="22"/>
        </w:rPr>
        <w:t xml:space="preserve">In </w:t>
      </w:r>
      <w:r w:rsidR="0074533B" w:rsidRPr="00981466">
        <w:rPr>
          <w:sz w:val="24"/>
          <w:szCs w:val="22"/>
        </w:rPr>
        <w:t>Rs.000’s)</w:t>
      </w:r>
      <w:r w:rsidR="002F4559" w:rsidRPr="00981466">
        <w:rPr>
          <w:sz w:val="24"/>
          <w:szCs w:val="22"/>
        </w:rPr>
        <w:t xml:space="preserve">         </w:t>
      </w: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1890"/>
      </w:tblGrid>
      <w:tr w:rsidR="00544C8E" w:rsidRPr="001D70E9" w14:paraId="238107BF" w14:textId="77777777" w:rsidTr="00981466">
        <w:trPr>
          <w:trHeight w:val="300"/>
        </w:trPr>
        <w:tc>
          <w:tcPr>
            <w:tcW w:w="6390" w:type="dxa"/>
            <w:shd w:val="clear" w:color="auto" w:fill="auto"/>
            <w:noWrap/>
            <w:vAlign w:val="center"/>
            <w:hideMark/>
          </w:tcPr>
          <w:p w14:paraId="66C705DB" w14:textId="77777777" w:rsidR="00544C8E" w:rsidRPr="001D70E9" w:rsidRDefault="00544C8E" w:rsidP="00544C8E">
            <w:pPr>
              <w:overflowPunct/>
              <w:autoSpaceDE/>
              <w:autoSpaceDN/>
              <w:adjustRightInd/>
              <w:textAlignment w:val="auto"/>
              <w:rPr>
                <w:color w:val="000000"/>
                <w:sz w:val="22"/>
                <w:szCs w:val="22"/>
                <w:lang w:val="en-CA" w:eastAsia="en-CA"/>
              </w:rPr>
            </w:pPr>
            <w:r w:rsidRPr="001D70E9">
              <w:rPr>
                <w:color w:val="000000"/>
                <w:sz w:val="22"/>
                <w:szCs w:val="22"/>
                <w:lang w:eastAsia="en-CA"/>
              </w:rPr>
              <w:t>Opening Balance</w:t>
            </w:r>
          </w:p>
        </w:tc>
        <w:tc>
          <w:tcPr>
            <w:tcW w:w="1890" w:type="dxa"/>
            <w:shd w:val="clear" w:color="auto" w:fill="auto"/>
            <w:noWrap/>
            <w:vAlign w:val="center"/>
            <w:hideMark/>
          </w:tcPr>
          <w:p w14:paraId="7C38A0E2" w14:textId="445F7760" w:rsidR="00544C8E" w:rsidRPr="001D70E9" w:rsidRDefault="00AA06AE" w:rsidP="000A66FF">
            <w:pPr>
              <w:overflowPunct/>
              <w:autoSpaceDE/>
              <w:autoSpaceDN/>
              <w:adjustRightInd/>
              <w:jc w:val="right"/>
              <w:textAlignment w:val="auto"/>
              <w:rPr>
                <w:color w:val="000000"/>
                <w:sz w:val="22"/>
                <w:szCs w:val="22"/>
                <w:lang w:val="en-CA" w:eastAsia="en-CA"/>
              </w:rPr>
            </w:pPr>
            <w:r>
              <w:rPr>
                <w:color w:val="000000"/>
                <w:sz w:val="22"/>
                <w:szCs w:val="22"/>
                <w:lang w:eastAsia="en-CA"/>
              </w:rPr>
              <w:t>680,453</w:t>
            </w:r>
          </w:p>
        </w:tc>
      </w:tr>
      <w:tr w:rsidR="00544C8E" w:rsidRPr="001D70E9" w14:paraId="1E7F0691" w14:textId="77777777" w:rsidTr="00981466">
        <w:trPr>
          <w:trHeight w:val="300"/>
        </w:trPr>
        <w:tc>
          <w:tcPr>
            <w:tcW w:w="6390" w:type="dxa"/>
            <w:shd w:val="clear" w:color="auto" w:fill="auto"/>
            <w:noWrap/>
            <w:vAlign w:val="center"/>
            <w:hideMark/>
          </w:tcPr>
          <w:p w14:paraId="2812F7CA" w14:textId="77777777" w:rsidR="00544C8E" w:rsidRPr="001D70E9" w:rsidRDefault="00544C8E" w:rsidP="00544C8E">
            <w:pPr>
              <w:overflowPunct/>
              <w:autoSpaceDE/>
              <w:autoSpaceDN/>
              <w:adjustRightInd/>
              <w:textAlignment w:val="auto"/>
              <w:rPr>
                <w:color w:val="000000"/>
                <w:sz w:val="22"/>
                <w:szCs w:val="22"/>
                <w:lang w:val="en-CA" w:eastAsia="en-CA"/>
              </w:rPr>
            </w:pPr>
            <w:r w:rsidRPr="001D70E9">
              <w:rPr>
                <w:color w:val="000000"/>
                <w:sz w:val="22"/>
                <w:szCs w:val="22"/>
                <w:lang w:eastAsia="en-CA"/>
              </w:rPr>
              <w:t>Additions</w:t>
            </w:r>
          </w:p>
        </w:tc>
        <w:tc>
          <w:tcPr>
            <w:tcW w:w="1890" w:type="dxa"/>
            <w:shd w:val="clear" w:color="auto" w:fill="auto"/>
            <w:noWrap/>
            <w:vAlign w:val="center"/>
            <w:hideMark/>
          </w:tcPr>
          <w:p w14:paraId="7AB8CC35" w14:textId="77777777" w:rsidR="00544C8E" w:rsidRPr="001D70E9" w:rsidRDefault="00B3005A" w:rsidP="00CA0442">
            <w:pPr>
              <w:overflowPunct/>
              <w:autoSpaceDE/>
              <w:autoSpaceDN/>
              <w:adjustRightInd/>
              <w:jc w:val="right"/>
              <w:textAlignment w:val="auto"/>
              <w:rPr>
                <w:color w:val="000000"/>
                <w:sz w:val="22"/>
                <w:szCs w:val="22"/>
                <w:lang w:val="en-CA" w:eastAsia="en-CA"/>
              </w:rPr>
            </w:pPr>
            <w:r>
              <w:rPr>
                <w:color w:val="000000"/>
                <w:sz w:val="22"/>
                <w:szCs w:val="22"/>
                <w:lang w:eastAsia="en-CA"/>
              </w:rPr>
              <w:t>-</w:t>
            </w:r>
            <w:r w:rsidR="00544C8E" w:rsidRPr="001D70E9">
              <w:rPr>
                <w:color w:val="000000"/>
                <w:sz w:val="22"/>
                <w:szCs w:val="22"/>
                <w:lang w:eastAsia="en-CA"/>
              </w:rPr>
              <w:t xml:space="preserve">                                                                                                                                        </w:t>
            </w:r>
          </w:p>
        </w:tc>
      </w:tr>
      <w:tr w:rsidR="00544C8E" w:rsidRPr="001D70E9" w14:paraId="03747E20" w14:textId="77777777" w:rsidTr="00981466">
        <w:trPr>
          <w:trHeight w:val="300"/>
        </w:trPr>
        <w:tc>
          <w:tcPr>
            <w:tcW w:w="6390" w:type="dxa"/>
            <w:shd w:val="clear" w:color="auto" w:fill="auto"/>
            <w:noWrap/>
            <w:vAlign w:val="center"/>
            <w:hideMark/>
          </w:tcPr>
          <w:p w14:paraId="0A2B9F27" w14:textId="77777777" w:rsidR="00544C8E" w:rsidRPr="001D70E9" w:rsidRDefault="00544C8E" w:rsidP="00544C8E">
            <w:pPr>
              <w:overflowPunct/>
              <w:autoSpaceDE/>
              <w:autoSpaceDN/>
              <w:adjustRightInd/>
              <w:textAlignment w:val="auto"/>
              <w:rPr>
                <w:color w:val="000000"/>
                <w:sz w:val="22"/>
                <w:szCs w:val="22"/>
                <w:lang w:val="en-CA" w:eastAsia="en-CA"/>
              </w:rPr>
            </w:pPr>
            <w:r w:rsidRPr="001D70E9">
              <w:rPr>
                <w:color w:val="000000"/>
                <w:sz w:val="22"/>
                <w:szCs w:val="22"/>
                <w:lang w:eastAsia="en-CA"/>
              </w:rPr>
              <w:t>Reductions</w:t>
            </w:r>
          </w:p>
        </w:tc>
        <w:tc>
          <w:tcPr>
            <w:tcW w:w="1890" w:type="dxa"/>
            <w:shd w:val="clear" w:color="auto" w:fill="auto"/>
            <w:noWrap/>
            <w:vAlign w:val="center"/>
            <w:hideMark/>
          </w:tcPr>
          <w:p w14:paraId="468550AB" w14:textId="684B1F7E" w:rsidR="00544C8E" w:rsidRPr="001D70E9" w:rsidRDefault="00DE2C60" w:rsidP="000A66FF">
            <w:pPr>
              <w:overflowPunct/>
              <w:autoSpaceDE/>
              <w:autoSpaceDN/>
              <w:adjustRightInd/>
              <w:jc w:val="right"/>
              <w:textAlignment w:val="auto"/>
              <w:rPr>
                <w:color w:val="000000"/>
                <w:sz w:val="22"/>
                <w:szCs w:val="22"/>
                <w:lang w:val="en-CA" w:eastAsia="en-CA"/>
              </w:rPr>
            </w:pPr>
            <w:r>
              <w:rPr>
                <w:color w:val="000000"/>
                <w:sz w:val="22"/>
                <w:szCs w:val="22"/>
                <w:lang w:eastAsia="en-CA"/>
              </w:rPr>
              <w:t>45,210</w:t>
            </w:r>
          </w:p>
        </w:tc>
      </w:tr>
      <w:tr w:rsidR="00544C8E" w:rsidRPr="00981466" w14:paraId="27E49D5F" w14:textId="77777777" w:rsidTr="00981466">
        <w:trPr>
          <w:trHeight w:val="300"/>
        </w:trPr>
        <w:tc>
          <w:tcPr>
            <w:tcW w:w="6390" w:type="dxa"/>
            <w:shd w:val="clear" w:color="auto" w:fill="auto"/>
            <w:noWrap/>
            <w:vAlign w:val="center"/>
            <w:hideMark/>
          </w:tcPr>
          <w:p w14:paraId="27174879" w14:textId="77777777" w:rsidR="00544C8E" w:rsidRPr="00981466" w:rsidRDefault="00544C8E"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Closing Balance</w:t>
            </w:r>
          </w:p>
        </w:tc>
        <w:tc>
          <w:tcPr>
            <w:tcW w:w="1890" w:type="dxa"/>
            <w:shd w:val="clear" w:color="auto" w:fill="auto"/>
            <w:noWrap/>
            <w:vAlign w:val="center"/>
            <w:hideMark/>
          </w:tcPr>
          <w:p w14:paraId="4344224C" w14:textId="272029A1" w:rsidR="00544C8E" w:rsidRPr="00981466" w:rsidRDefault="00DE2C60" w:rsidP="000A66FF">
            <w:pPr>
              <w:overflowPunct/>
              <w:autoSpaceDE/>
              <w:autoSpaceDN/>
              <w:adjustRightInd/>
              <w:jc w:val="right"/>
              <w:textAlignment w:val="auto"/>
              <w:rPr>
                <w:color w:val="000000"/>
                <w:sz w:val="24"/>
                <w:szCs w:val="22"/>
                <w:lang w:val="en-CA" w:eastAsia="en-CA"/>
              </w:rPr>
            </w:pPr>
            <w:r>
              <w:rPr>
                <w:color w:val="000000"/>
                <w:sz w:val="24"/>
                <w:szCs w:val="22"/>
                <w:lang w:eastAsia="en-CA"/>
              </w:rPr>
              <w:t>635</w:t>
            </w:r>
            <w:r w:rsidR="00B3005A" w:rsidRPr="00981466">
              <w:rPr>
                <w:color w:val="000000"/>
                <w:sz w:val="24"/>
                <w:szCs w:val="22"/>
                <w:lang w:eastAsia="en-CA"/>
              </w:rPr>
              <w:t>,</w:t>
            </w:r>
            <w:r>
              <w:rPr>
                <w:color w:val="000000"/>
                <w:sz w:val="24"/>
                <w:szCs w:val="22"/>
                <w:lang w:eastAsia="en-CA"/>
              </w:rPr>
              <w:t>243</w:t>
            </w:r>
          </w:p>
        </w:tc>
      </w:tr>
    </w:tbl>
    <w:p w14:paraId="704BC8DD" w14:textId="77777777" w:rsidR="00B3005A" w:rsidRPr="00981466" w:rsidRDefault="00B3005A" w:rsidP="00EC07BA">
      <w:pPr>
        <w:rPr>
          <w:sz w:val="24"/>
          <w:szCs w:val="22"/>
        </w:rPr>
      </w:pPr>
    </w:p>
    <w:p w14:paraId="4CC66FC3" w14:textId="77777777" w:rsidR="0018711F" w:rsidRDefault="0018711F">
      <w:pPr>
        <w:overflowPunct/>
        <w:autoSpaceDE/>
        <w:autoSpaceDN/>
        <w:adjustRightInd/>
        <w:spacing w:after="200" w:line="276" w:lineRule="auto"/>
        <w:textAlignment w:val="auto"/>
        <w:rPr>
          <w:sz w:val="24"/>
          <w:szCs w:val="22"/>
        </w:rPr>
      </w:pPr>
      <w:r>
        <w:rPr>
          <w:sz w:val="24"/>
          <w:szCs w:val="22"/>
        </w:rPr>
        <w:br w:type="page"/>
      </w:r>
    </w:p>
    <w:p w14:paraId="2665AEBD" w14:textId="4518356D" w:rsidR="00EC07BA" w:rsidRPr="00981466" w:rsidRDefault="00EC07BA" w:rsidP="00981466">
      <w:pPr>
        <w:pStyle w:val="ListParagraph"/>
        <w:numPr>
          <w:ilvl w:val="0"/>
          <w:numId w:val="10"/>
        </w:numPr>
        <w:tabs>
          <w:tab w:val="left" w:pos="1260"/>
        </w:tabs>
        <w:ind w:right="-90"/>
        <w:rPr>
          <w:sz w:val="24"/>
          <w:szCs w:val="22"/>
        </w:rPr>
      </w:pPr>
      <w:r w:rsidRPr="00981466">
        <w:rPr>
          <w:sz w:val="24"/>
          <w:szCs w:val="22"/>
        </w:rPr>
        <w:lastRenderedPageBreak/>
        <w:t>Movement of Provisions for NPAs</w:t>
      </w:r>
      <w:r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2B2C1E" w:rsidRPr="00981466">
        <w:rPr>
          <w:sz w:val="24"/>
          <w:szCs w:val="22"/>
        </w:rPr>
        <w:t xml:space="preserve">   </w:t>
      </w:r>
      <w:r w:rsidR="00981466">
        <w:rPr>
          <w:sz w:val="24"/>
          <w:szCs w:val="22"/>
        </w:rPr>
        <w:tab/>
        <w:t xml:space="preserve">     </w:t>
      </w:r>
      <w:r w:rsidR="00026E1D" w:rsidRPr="00981466">
        <w:rPr>
          <w:sz w:val="24"/>
          <w:szCs w:val="22"/>
        </w:rPr>
        <w:t xml:space="preserve"> </w:t>
      </w:r>
      <w:r w:rsidR="0074533B" w:rsidRPr="00981466">
        <w:rPr>
          <w:sz w:val="24"/>
          <w:szCs w:val="22"/>
        </w:rPr>
        <w:t xml:space="preserve"> (</w:t>
      </w:r>
      <w:r w:rsidR="002B2C1E" w:rsidRPr="00981466">
        <w:rPr>
          <w:sz w:val="24"/>
          <w:szCs w:val="22"/>
        </w:rPr>
        <w:t xml:space="preserve">In </w:t>
      </w:r>
      <w:r w:rsidR="0074533B" w:rsidRPr="00981466">
        <w:rPr>
          <w:sz w:val="24"/>
          <w:szCs w:val="22"/>
        </w:rPr>
        <w:t xml:space="preserve">Rs.000’s)                                                                                                         </w:t>
      </w:r>
    </w:p>
    <w:tbl>
      <w:tblPr>
        <w:tblW w:w="846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1980"/>
      </w:tblGrid>
      <w:tr w:rsidR="00544C8E" w:rsidRPr="00981466" w14:paraId="5550478C" w14:textId="77777777" w:rsidTr="00981466">
        <w:trPr>
          <w:trHeight w:val="300"/>
        </w:trPr>
        <w:tc>
          <w:tcPr>
            <w:tcW w:w="6480" w:type="dxa"/>
            <w:shd w:val="clear" w:color="auto" w:fill="auto"/>
            <w:noWrap/>
            <w:vAlign w:val="center"/>
            <w:hideMark/>
          </w:tcPr>
          <w:p w14:paraId="25ED443B" w14:textId="77777777" w:rsidR="00544C8E" w:rsidRPr="00981466" w:rsidRDefault="00544C8E"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Opening Balance</w:t>
            </w:r>
          </w:p>
        </w:tc>
        <w:tc>
          <w:tcPr>
            <w:tcW w:w="1980" w:type="dxa"/>
            <w:shd w:val="clear" w:color="auto" w:fill="auto"/>
            <w:noWrap/>
            <w:vAlign w:val="center"/>
            <w:hideMark/>
          </w:tcPr>
          <w:p w14:paraId="1A5F4E6C" w14:textId="5DDEDDC5" w:rsidR="00544C8E" w:rsidRPr="00981466" w:rsidRDefault="00AA06AE" w:rsidP="00CA0442">
            <w:pPr>
              <w:overflowPunct/>
              <w:autoSpaceDE/>
              <w:autoSpaceDN/>
              <w:adjustRightInd/>
              <w:jc w:val="right"/>
              <w:textAlignment w:val="auto"/>
              <w:rPr>
                <w:color w:val="000000"/>
                <w:sz w:val="24"/>
                <w:szCs w:val="22"/>
                <w:lang w:val="en-CA" w:eastAsia="en-CA"/>
              </w:rPr>
            </w:pPr>
            <w:r>
              <w:rPr>
                <w:color w:val="000000"/>
                <w:sz w:val="24"/>
                <w:szCs w:val="22"/>
                <w:lang w:eastAsia="en-CA"/>
              </w:rPr>
              <w:t>680,453</w:t>
            </w:r>
          </w:p>
        </w:tc>
      </w:tr>
      <w:tr w:rsidR="00544C8E" w:rsidRPr="00981466" w14:paraId="00148F4F" w14:textId="77777777" w:rsidTr="00981466">
        <w:trPr>
          <w:trHeight w:val="300"/>
        </w:trPr>
        <w:tc>
          <w:tcPr>
            <w:tcW w:w="6480" w:type="dxa"/>
            <w:shd w:val="clear" w:color="auto" w:fill="auto"/>
            <w:noWrap/>
            <w:vAlign w:val="center"/>
            <w:hideMark/>
          </w:tcPr>
          <w:p w14:paraId="03D59630" w14:textId="77777777" w:rsidR="00544C8E" w:rsidRPr="00981466" w:rsidRDefault="00544C8E"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Provisions Made During the Period</w:t>
            </w:r>
          </w:p>
        </w:tc>
        <w:tc>
          <w:tcPr>
            <w:tcW w:w="1980" w:type="dxa"/>
            <w:shd w:val="clear" w:color="auto" w:fill="auto"/>
            <w:noWrap/>
            <w:vAlign w:val="center"/>
            <w:hideMark/>
          </w:tcPr>
          <w:p w14:paraId="33EF5820" w14:textId="77777777" w:rsidR="00544C8E" w:rsidRPr="00981466" w:rsidRDefault="000A66FF" w:rsidP="00CA0442">
            <w:pPr>
              <w:overflowPunct/>
              <w:autoSpaceDE/>
              <w:autoSpaceDN/>
              <w:adjustRightInd/>
              <w:jc w:val="right"/>
              <w:textAlignment w:val="auto"/>
              <w:rPr>
                <w:color w:val="000000"/>
                <w:sz w:val="24"/>
                <w:szCs w:val="22"/>
                <w:lang w:val="en-CA" w:eastAsia="en-CA"/>
              </w:rPr>
            </w:pPr>
            <w:r>
              <w:rPr>
                <w:color w:val="000000"/>
                <w:sz w:val="24"/>
                <w:szCs w:val="22"/>
                <w:lang w:eastAsia="en-CA"/>
              </w:rPr>
              <w:t>-</w:t>
            </w:r>
          </w:p>
        </w:tc>
      </w:tr>
      <w:tr w:rsidR="00544C8E" w:rsidRPr="00981466" w14:paraId="5F571E3D" w14:textId="77777777" w:rsidTr="00981466">
        <w:trPr>
          <w:trHeight w:val="387"/>
        </w:trPr>
        <w:tc>
          <w:tcPr>
            <w:tcW w:w="6480" w:type="dxa"/>
            <w:shd w:val="clear" w:color="auto" w:fill="auto"/>
            <w:noWrap/>
            <w:vAlign w:val="center"/>
            <w:hideMark/>
          </w:tcPr>
          <w:p w14:paraId="2FCA6859" w14:textId="77777777" w:rsidR="00544C8E" w:rsidRPr="00981466" w:rsidRDefault="00B50C86"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 xml:space="preserve">Less : </w:t>
            </w:r>
            <w:r w:rsidR="00544C8E" w:rsidRPr="00981466">
              <w:rPr>
                <w:color w:val="000000"/>
                <w:sz w:val="24"/>
                <w:szCs w:val="22"/>
                <w:lang w:eastAsia="en-CA"/>
              </w:rPr>
              <w:t xml:space="preserve">Write-off </w:t>
            </w:r>
          </w:p>
        </w:tc>
        <w:tc>
          <w:tcPr>
            <w:tcW w:w="1980" w:type="dxa"/>
            <w:shd w:val="clear" w:color="auto" w:fill="auto"/>
            <w:noWrap/>
            <w:vAlign w:val="center"/>
            <w:hideMark/>
          </w:tcPr>
          <w:p w14:paraId="0311DCFA" w14:textId="17E9CB53" w:rsidR="00544C8E" w:rsidRPr="00981466" w:rsidRDefault="00DE2C60" w:rsidP="001758B0">
            <w:pPr>
              <w:overflowPunct/>
              <w:autoSpaceDE/>
              <w:autoSpaceDN/>
              <w:adjustRightInd/>
              <w:jc w:val="right"/>
              <w:textAlignment w:val="auto"/>
              <w:rPr>
                <w:color w:val="000000"/>
                <w:sz w:val="24"/>
                <w:szCs w:val="22"/>
                <w:lang w:val="en-CA" w:eastAsia="en-CA"/>
              </w:rPr>
            </w:pPr>
            <w:r>
              <w:rPr>
                <w:color w:val="000000"/>
                <w:sz w:val="24"/>
                <w:szCs w:val="22"/>
                <w:lang w:val="en-CA" w:eastAsia="en-CA"/>
              </w:rPr>
              <w:t>45,210</w:t>
            </w:r>
          </w:p>
        </w:tc>
      </w:tr>
      <w:tr w:rsidR="001758B0" w:rsidRPr="00981466" w14:paraId="0DFBB8E1" w14:textId="77777777" w:rsidTr="00981466">
        <w:trPr>
          <w:trHeight w:val="300"/>
        </w:trPr>
        <w:tc>
          <w:tcPr>
            <w:tcW w:w="6480" w:type="dxa"/>
            <w:shd w:val="clear" w:color="auto" w:fill="auto"/>
            <w:noWrap/>
            <w:vAlign w:val="center"/>
            <w:hideMark/>
          </w:tcPr>
          <w:p w14:paraId="2C2FE594" w14:textId="77777777" w:rsidR="001758B0" w:rsidRPr="00981466" w:rsidRDefault="00B50C86"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 xml:space="preserve">Less : </w:t>
            </w:r>
            <w:r w:rsidR="001758B0" w:rsidRPr="00981466">
              <w:rPr>
                <w:color w:val="000000"/>
                <w:sz w:val="24"/>
                <w:szCs w:val="22"/>
                <w:lang w:eastAsia="en-CA"/>
              </w:rPr>
              <w:t>Write-back of Excess Provisions</w:t>
            </w:r>
          </w:p>
        </w:tc>
        <w:tc>
          <w:tcPr>
            <w:tcW w:w="1980" w:type="dxa"/>
            <w:shd w:val="clear" w:color="auto" w:fill="auto"/>
            <w:noWrap/>
            <w:vAlign w:val="center"/>
            <w:hideMark/>
          </w:tcPr>
          <w:p w14:paraId="448719F6" w14:textId="77777777" w:rsidR="001758B0" w:rsidRPr="00981466" w:rsidRDefault="000A66FF" w:rsidP="0062213A">
            <w:pPr>
              <w:overflowPunct/>
              <w:autoSpaceDE/>
              <w:autoSpaceDN/>
              <w:adjustRightInd/>
              <w:jc w:val="right"/>
              <w:textAlignment w:val="auto"/>
              <w:rPr>
                <w:color w:val="000000"/>
                <w:sz w:val="24"/>
                <w:szCs w:val="22"/>
                <w:lang w:val="en-CA" w:eastAsia="en-CA"/>
              </w:rPr>
            </w:pPr>
            <w:r>
              <w:rPr>
                <w:color w:val="000000"/>
                <w:sz w:val="24"/>
                <w:szCs w:val="22"/>
                <w:lang w:eastAsia="en-CA"/>
              </w:rPr>
              <w:t>-</w:t>
            </w:r>
            <w:r w:rsidR="001758B0" w:rsidRPr="00981466">
              <w:rPr>
                <w:color w:val="000000"/>
                <w:sz w:val="24"/>
                <w:szCs w:val="22"/>
                <w:lang w:eastAsia="en-CA"/>
              </w:rPr>
              <w:t xml:space="preserve">          </w:t>
            </w:r>
          </w:p>
        </w:tc>
      </w:tr>
      <w:tr w:rsidR="001758B0" w:rsidRPr="00981466" w14:paraId="4C67CC52" w14:textId="77777777" w:rsidTr="00981466">
        <w:trPr>
          <w:trHeight w:val="300"/>
        </w:trPr>
        <w:tc>
          <w:tcPr>
            <w:tcW w:w="6480" w:type="dxa"/>
            <w:shd w:val="clear" w:color="auto" w:fill="auto"/>
            <w:noWrap/>
            <w:vAlign w:val="center"/>
            <w:hideMark/>
          </w:tcPr>
          <w:p w14:paraId="0CF0404C" w14:textId="77777777" w:rsidR="001758B0" w:rsidRPr="00981466" w:rsidRDefault="001758B0"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Closing Balance</w:t>
            </w:r>
          </w:p>
        </w:tc>
        <w:tc>
          <w:tcPr>
            <w:tcW w:w="1980" w:type="dxa"/>
            <w:shd w:val="clear" w:color="auto" w:fill="auto"/>
            <w:noWrap/>
            <w:vAlign w:val="center"/>
            <w:hideMark/>
          </w:tcPr>
          <w:p w14:paraId="77DF4BB1" w14:textId="06917906" w:rsidR="001758B0" w:rsidRPr="00981466" w:rsidRDefault="00DE2C60" w:rsidP="000A66FF">
            <w:pPr>
              <w:overflowPunct/>
              <w:autoSpaceDE/>
              <w:autoSpaceDN/>
              <w:adjustRightInd/>
              <w:jc w:val="right"/>
              <w:textAlignment w:val="auto"/>
              <w:rPr>
                <w:color w:val="000000"/>
                <w:sz w:val="24"/>
                <w:szCs w:val="22"/>
                <w:lang w:val="en-CA" w:eastAsia="en-CA"/>
              </w:rPr>
            </w:pPr>
            <w:r>
              <w:rPr>
                <w:color w:val="000000"/>
                <w:sz w:val="24"/>
                <w:szCs w:val="22"/>
                <w:lang w:eastAsia="en-CA"/>
              </w:rPr>
              <w:t>635</w:t>
            </w:r>
            <w:r w:rsidR="00B3005A" w:rsidRPr="00981466">
              <w:rPr>
                <w:color w:val="000000"/>
                <w:sz w:val="24"/>
                <w:szCs w:val="22"/>
                <w:lang w:eastAsia="en-CA"/>
              </w:rPr>
              <w:t>,</w:t>
            </w:r>
            <w:r>
              <w:rPr>
                <w:color w:val="000000"/>
                <w:sz w:val="24"/>
                <w:szCs w:val="22"/>
                <w:lang w:eastAsia="en-CA"/>
              </w:rPr>
              <w:t>2</w:t>
            </w:r>
            <w:r w:rsidR="000A66FF">
              <w:rPr>
                <w:color w:val="000000"/>
                <w:sz w:val="24"/>
                <w:szCs w:val="22"/>
                <w:lang w:eastAsia="en-CA"/>
              </w:rPr>
              <w:t>43</w:t>
            </w:r>
          </w:p>
        </w:tc>
      </w:tr>
    </w:tbl>
    <w:p w14:paraId="45164BEB" w14:textId="77777777" w:rsidR="001758B0" w:rsidRPr="00981466" w:rsidRDefault="001758B0" w:rsidP="007B15FC">
      <w:pPr>
        <w:tabs>
          <w:tab w:val="left" w:pos="1440"/>
        </w:tabs>
        <w:rPr>
          <w:sz w:val="24"/>
          <w:szCs w:val="22"/>
        </w:rPr>
      </w:pPr>
    </w:p>
    <w:p w14:paraId="036B3FF4" w14:textId="77777777" w:rsidR="00EC07BA" w:rsidRPr="00981466" w:rsidRDefault="00EC07BA" w:rsidP="00981466">
      <w:pPr>
        <w:tabs>
          <w:tab w:val="left" w:pos="1260"/>
        </w:tabs>
        <w:ind w:left="1440" w:hanging="720"/>
        <w:rPr>
          <w:sz w:val="24"/>
          <w:szCs w:val="22"/>
        </w:rPr>
      </w:pPr>
      <w:r w:rsidRPr="00981466">
        <w:rPr>
          <w:sz w:val="24"/>
          <w:szCs w:val="22"/>
        </w:rPr>
        <w:t>(j)</w:t>
      </w:r>
      <w:r w:rsidRPr="00981466">
        <w:rPr>
          <w:sz w:val="24"/>
          <w:szCs w:val="22"/>
        </w:rPr>
        <w:tab/>
        <w:t>Amount of Non</w:t>
      </w:r>
      <w:r w:rsidR="00544C8E" w:rsidRPr="00981466">
        <w:rPr>
          <w:sz w:val="24"/>
          <w:szCs w:val="22"/>
        </w:rPr>
        <w:t xml:space="preserve"> Performing Investments – </w:t>
      </w:r>
      <w:r w:rsidR="009A5D98" w:rsidRPr="00981466">
        <w:rPr>
          <w:sz w:val="24"/>
          <w:szCs w:val="22"/>
        </w:rPr>
        <w:t>Rs.</w:t>
      </w:r>
      <w:r w:rsidR="00753AEB" w:rsidRPr="00981466">
        <w:rPr>
          <w:sz w:val="24"/>
          <w:szCs w:val="22"/>
        </w:rPr>
        <w:t>69,008</w:t>
      </w:r>
      <w:r w:rsidR="00544C8E" w:rsidRPr="00981466">
        <w:rPr>
          <w:sz w:val="24"/>
          <w:szCs w:val="22"/>
        </w:rPr>
        <w:t xml:space="preserve"> (thousands)</w:t>
      </w:r>
    </w:p>
    <w:p w14:paraId="4481355A" w14:textId="77777777" w:rsidR="00EC07BA" w:rsidRPr="00981466" w:rsidRDefault="00EC07BA" w:rsidP="00EC07BA">
      <w:pPr>
        <w:tabs>
          <w:tab w:val="left" w:pos="1440"/>
        </w:tabs>
        <w:ind w:left="1440" w:hanging="720"/>
        <w:rPr>
          <w:sz w:val="24"/>
          <w:szCs w:val="22"/>
        </w:rPr>
      </w:pPr>
    </w:p>
    <w:p w14:paraId="2BE8A300" w14:textId="1D2C2716" w:rsidR="00EC07BA" w:rsidRPr="00981466" w:rsidRDefault="00EC07BA" w:rsidP="00981466">
      <w:pPr>
        <w:tabs>
          <w:tab w:val="left" w:pos="1260"/>
        </w:tabs>
        <w:ind w:left="1440" w:hanging="720"/>
        <w:jc w:val="both"/>
        <w:rPr>
          <w:sz w:val="24"/>
          <w:szCs w:val="22"/>
        </w:rPr>
      </w:pPr>
      <w:r w:rsidRPr="00981466">
        <w:rPr>
          <w:sz w:val="24"/>
          <w:szCs w:val="22"/>
        </w:rPr>
        <w:t>(k)</w:t>
      </w:r>
      <w:r w:rsidRPr="00981466">
        <w:rPr>
          <w:sz w:val="24"/>
          <w:szCs w:val="22"/>
        </w:rPr>
        <w:tab/>
        <w:t xml:space="preserve">Amount of Provisions Held for Non-performing Investments </w:t>
      </w:r>
      <w:r w:rsidR="00544C8E" w:rsidRPr="00981466">
        <w:rPr>
          <w:sz w:val="24"/>
          <w:szCs w:val="22"/>
        </w:rPr>
        <w:t>–</w:t>
      </w:r>
      <w:r w:rsidRPr="00981466">
        <w:rPr>
          <w:sz w:val="24"/>
          <w:szCs w:val="22"/>
        </w:rPr>
        <w:t xml:space="preserve"> </w:t>
      </w:r>
      <w:r w:rsidR="009A5D98" w:rsidRPr="00981466">
        <w:rPr>
          <w:sz w:val="24"/>
          <w:szCs w:val="22"/>
        </w:rPr>
        <w:t>Rs.</w:t>
      </w:r>
      <w:r w:rsidR="0033129F">
        <w:rPr>
          <w:sz w:val="24"/>
          <w:szCs w:val="22"/>
        </w:rPr>
        <w:t>69</w:t>
      </w:r>
      <w:r w:rsidR="00AA06AE">
        <w:rPr>
          <w:sz w:val="24"/>
          <w:szCs w:val="22"/>
        </w:rPr>
        <w:t>,</w:t>
      </w:r>
      <w:r w:rsidR="0033129F">
        <w:rPr>
          <w:sz w:val="24"/>
          <w:szCs w:val="22"/>
        </w:rPr>
        <w:t>008</w:t>
      </w:r>
      <w:r w:rsidR="00544C8E" w:rsidRPr="00981466">
        <w:rPr>
          <w:sz w:val="24"/>
          <w:szCs w:val="22"/>
        </w:rPr>
        <w:t xml:space="preserve"> (thousands)</w:t>
      </w:r>
    </w:p>
    <w:p w14:paraId="16C200A8" w14:textId="77777777" w:rsidR="00EC07BA" w:rsidRPr="00981466" w:rsidRDefault="00EC07BA" w:rsidP="00EC07BA">
      <w:pPr>
        <w:rPr>
          <w:sz w:val="24"/>
          <w:szCs w:val="22"/>
        </w:rPr>
      </w:pPr>
    </w:p>
    <w:p w14:paraId="2B9FF5B7" w14:textId="77777777" w:rsidR="00EC07BA" w:rsidRPr="00981466" w:rsidRDefault="00EC07BA" w:rsidP="00981466">
      <w:pPr>
        <w:tabs>
          <w:tab w:val="left" w:pos="1260"/>
        </w:tabs>
        <w:ind w:left="1440" w:right="-90" w:hanging="720"/>
        <w:rPr>
          <w:sz w:val="24"/>
          <w:szCs w:val="22"/>
        </w:rPr>
      </w:pPr>
      <w:r w:rsidRPr="00981466">
        <w:rPr>
          <w:sz w:val="24"/>
          <w:szCs w:val="22"/>
        </w:rPr>
        <w:t>(l)</w:t>
      </w:r>
      <w:r w:rsidRPr="00981466">
        <w:rPr>
          <w:sz w:val="24"/>
          <w:szCs w:val="22"/>
        </w:rPr>
        <w:tab/>
        <w:t>Movement of Provisions for Depreciation on Investments</w:t>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981466">
        <w:rPr>
          <w:sz w:val="24"/>
          <w:szCs w:val="22"/>
        </w:rPr>
        <w:t xml:space="preserve">  </w:t>
      </w:r>
      <w:r w:rsidR="0074533B" w:rsidRPr="00981466">
        <w:rPr>
          <w:sz w:val="24"/>
          <w:szCs w:val="22"/>
        </w:rPr>
        <w:t>(</w:t>
      </w:r>
      <w:r w:rsidR="002B2C1E" w:rsidRPr="00981466">
        <w:rPr>
          <w:sz w:val="24"/>
          <w:szCs w:val="22"/>
        </w:rPr>
        <w:t xml:space="preserve">In </w:t>
      </w:r>
      <w:r w:rsidR="0074533B" w:rsidRPr="00981466">
        <w:rPr>
          <w:sz w:val="24"/>
          <w:szCs w:val="22"/>
        </w:rPr>
        <w:t>Rs.000’s)</w:t>
      </w:r>
    </w:p>
    <w:tbl>
      <w:tblPr>
        <w:tblW w:w="846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1980"/>
      </w:tblGrid>
      <w:tr w:rsidR="00544C8E" w:rsidRPr="00981466" w14:paraId="6034D785" w14:textId="77777777" w:rsidTr="00981466">
        <w:trPr>
          <w:trHeight w:val="300"/>
        </w:trPr>
        <w:tc>
          <w:tcPr>
            <w:tcW w:w="6480" w:type="dxa"/>
            <w:shd w:val="clear" w:color="auto" w:fill="auto"/>
            <w:noWrap/>
            <w:vAlign w:val="center"/>
            <w:hideMark/>
          </w:tcPr>
          <w:p w14:paraId="32A2284D" w14:textId="77777777" w:rsidR="00544C8E" w:rsidRPr="00981466" w:rsidRDefault="00544C8E"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Opening Balance</w:t>
            </w:r>
          </w:p>
        </w:tc>
        <w:tc>
          <w:tcPr>
            <w:tcW w:w="1980" w:type="dxa"/>
            <w:shd w:val="clear" w:color="auto" w:fill="auto"/>
            <w:noWrap/>
            <w:vAlign w:val="center"/>
            <w:hideMark/>
          </w:tcPr>
          <w:p w14:paraId="11F0DC01" w14:textId="15DC9241" w:rsidR="00544C8E" w:rsidRPr="00981466" w:rsidRDefault="00DE2C60" w:rsidP="00F44317">
            <w:pPr>
              <w:overflowPunct/>
              <w:autoSpaceDE/>
              <w:autoSpaceDN/>
              <w:adjustRightInd/>
              <w:jc w:val="right"/>
              <w:textAlignment w:val="auto"/>
              <w:rPr>
                <w:color w:val="000000"/>
                <w:sz w:val="24"/>
                <w:szCs w:val="22"/>
                <w:lang w:val="en-CA" w:eastAsia="en-CA"/>
              </w:rPr>
            </w:pPr>
            <w:r>
              <w:rPr>
                <w:color w:val="000000"/>
                <w:sz w:val="24"/>
                <w:szCs w:val="22"/>
                <w:lang w:eastAsia="en-CA"/>
              </w:rPr>
              <w:t>89,966</w:t>
            </w:r>
          </w:p>
        </w:tc>
      </w:tr>
      <w:tr w:rsidR="00544C8E" w:rsidRPr="00981466" w14:paraId="205400A8" w14:textId="77777777" w:rsidTr="00981466">
        <w:trPr>
          <w:trHeight w:val="300"/>
        </w:trPr>
        <w:tc>
          <w:tcPr>
            <w:tcW w:w="6480" w:type="dxa"/>
            <w:shd w:val="clear" w:color="auto" w:fill="auto"/>
            <w:noWrap/>
            <w:vAlign w:val="center"/>
            <w:hideMark/>
          </w:tcPr>
          <w:p w14:paraId="663CFC41" w14:textId="77777777" w:rsidR="00544C8E" w:rsidRPr="00981466" w:rsidRDefault="00544C8E"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Provisions Made During the Period</w:t>
            </w:r>
          </w:p>
        </w:tc>
        <w:tc>
          <w:tcPr>
            <w:tcW w:w="1980" w:type="dxa"/>
            <w:shd w:val="clear" w:color="auto" w:fill="auto"/>
            <w:noWrap/>
            <w:vAlign w:val="center"/>
            <w:hideMark/>
          </w:tcPr>
          <w:p w14:paraId="4CA63BE1" w14:textId="39DE7188" w:rsidR="00544C8E" w:rsidRPr="00981466" w:rsidRDefault="00DE2C60" w:rsidP="00F44317">
            <w:pPr>
              <w:overflowPunct/>
              <w:autoSpaceDE/>
              <w:autoSpaceDN/>
              <w:adjustRightInd/>
              <w:jc w:val="right"/>
              <w:textAlignment w:val="auto"/>
              <w:rPr>
                <w:color w:val="000000"/>
                <w:sz w:val="24"/>
                <w:szCs w:val="22"/>
                <w:lang w:val="en-CA" w:eastAsia="en-CA"/>
              </w:rPr>
            </w:pPr>
            <w:r>
              <w:rPr>
                <w:color w:val="000000"/>
                <w:sz w:val="24"/>
                <w:szCs w:val="22"/>
                <w:lang w:eastAsia="en-CA"/>
              </w:rPr>
              <w:t>199</w:t>
            </w:r>
            <w:r w:rsidR="00AA06AE">
              <w:rPr>
                <w:color w:val="000000"/>
                <w:sz w:val="24"/>
                <w:szCs w:val="22"/>
                <w:lang w:eastAsia="en-CA"/>
              </w:rPr>
              <w:t>,</w:t>
            </w:r>
            <w:r>
              <w:rPr>
                <w:color w:val="000000"/>
                <w:sz w:val="24"/>
                <w:szCs w:val="22"/>
                <w:lang w:eastAsia="en-CA"/>
              </w:rPr>
              <w:t>897</w:t>
            </w:r>
          </w:p>
        </w:tc>
      </w:tr>
      <w:tr w:rsidR="00544C8E" w:rsidRPr="00981466" w14:paraId="058D2EB3" w14:textId="77777777" w:rsidTr="00981466">
        <w:trPr>
          <w:trHeight w:val="300"/>
        </w:trPr>
        <w:tc>
          <w:tcPr>
            <w:tcW w:w="6480" w:type="dxa"/>
            <w:shd w:val="clear" w:color="auto" w:fill="auto"/>
            <w:noWrap/>
            <w:vAlign w:val="center"/>
            <w:hideMark/>
          </w:tcPr>
          <w:p w14:paraId="51A9DF4F" w14:textId="77777777" w:rsidR="00544C8E" w:rsidRPr="00981466" w:rsidRDefault="00B50C86"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 xml:space="preserve">Less : </w:t>
            </w:r>
            <w:r w:rsidR="00544C8E" w:rsidRPr="00981466">
              <w:rPr>
                <w:color w:val="000000"/>
                <w:sz w:val="24"/>
                <w:szCs w:val="22"/>
                <w:lang w:eastAsia="en-CA"/>
              </w:rPr>
              <w:t xml:space="preserve">Write-off </w:t>
            </w:r>
          </w:p>
        </w:tc>
        <w:tc>
          <w:tcPr>
            <w:tcW w:w="1980" w:type="dxa"/>
            <w:shd w:val="clear" w:color="auto" w:fill="auto"/>
            <w:noWrap/>
            <w:vAlign w:val="center"/>
            <w:hideMark/>
          </w:tcPr>
          <w:p w14:paraId="7CE8AEF7" w14:textId="77777777" w:rsidR="00544C8E" w:rsidRPr="00981466" w:rsidRDefault="00C21DDE" w:rsidP="00CA0442">
            <w:pPr>
              <w:overflowPunct/>
              <w:autoSpaceDE/>
              <w:autoSpaceDN/>
              <w:adjustRightInd/>
              <w:jc w:val="right"/>
              <w:textAlignment w:val="auto"/>
              <w:rPr>
                <w:color w:val="000000"/>
                <w:sz w:val="24"/>
                <w:szCs w:val="22"/>
                <w:lang w:val="en-CA" w:eastAsia="en-CA"/>
              </w:rPr>
            </w:pPr>
            <w:r w:rsidRPr="00981466">
              <w:rPr>
                <w:color w:val="000000"/>
                <w:sz w:val="24"/>
                <w:szCs w:val="22"/>
                <w:lang w:eastAsia="en-CA"/>
              </w:rPr>
              <w:t>-</w:t>
            </w:r>
            <w:r w:rsidR="00544C8E" w:rsidRPr="00981466">
              <w:rPr>
                <w:color w:val="000000"/>
                <w:sz w:val="24"/>
                <w:szCs w:val="22"/>
                <w:lang w:eastAsia="en-CA"/>
              </w:rPr>
              <w:t xml:space="preserve">                                                                                                                                        </w:t>
            </w:r>
          </w:p>
        </w:tc>
      </w:tr>
      <w:tr w:rsidR="00544C8E" w:rsidRPr="00981466" w14:paraId="3ABE80BF" w14:textId="77777777" w:rsidTr="00981466">
        <w:trPr>
          <w:trHeight w:val="300"/>
        </w:trPr>
        <w:tc>
          <w:tcPr>
            <w:tcW w:w="6480" w:type="dxa"/>
            <w:shd w:val="clear" w:color="auto" w:fill="auto"/>
            <w:noWrap/>
            <w:vAlign w:val="center"/>
            <w:hideMark/>
          </w:tcPr>
          <w:p w14:paraId="14452AF9" w14:textId="77777777" w:rsidR="00544C8E" w:rsidRPr="00981466" w:rsidRDefault="00B50C86"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 xml:space="preserve">Less : </w:t>
            </w:r>
            <w:r w:rsidR="00544C8E" w:rsidRPr="00981466">
              <w:rPr>
                <w:color w:val="000000"/>
                <w:sz w:val="24"/>
                <w:szCs w:val="22"/>
                <w:lang w:eastAsia="en-CA"/>
              </w:rPr>
              <w:t>Write-back of Excess Provisions</w:t>
            </w:r>
          </w:p>
        </w:tc>
        <w:tc>
          <w:tcPr>
            <w:tcW w:w="1980" w:type="dxa"/>
            <w:shd w:val="clear" w:color="auto" w:fill="auto"/>
            <w:noWrap/>
            <w:vAlign w:val="center"/>
            <w:hideMark/>
          </w:tcPr>
          <w:p w14:paraId="3C8E50CC" w14:textId="77777777" w:rsidR="00544C8E" w:rsidRPr="00981466" w:rsidRDefault="00C21DDE" w:rsidP="00CA0442">
            <w:pPr>
              <w:overflowPunct/>
              <w:autoSpaceDE/>
              <w:autoSpaceDN/>
              <w:adjustRightInd/>
              <w:jc w:val="right"/>
              <w:textAlignment w:val="auto"/>
              <w:rPr>
                <w:color w:val="000000"/>
                <w:sz w:val="24"/>
                <w:szCs w:val="22"/>
                <w:lang w:val="en-CA" w:eastAsia="en-CA"/>
              </w:rPr>
            </w:pPr>
            <w:r w:rsidRPr="00981466">
              <w:rPr>
                <w:color w:val="000000"/>
                <w:sz w:val="24"/>
                <w:szCs w:val="22"/>
                <w:lang w:eastAsia="en-CA"/>
              </w:rPr>
              <w:t>-</w:t>
            </w:r>
            <w:r w:rsidR="00544C8E" w:rsidRPr="00981466">
              <w:rPr>
                <w:color w:val="000000"/>
                <w:sz w:val="24"/>
                <w:szCs w:val="22"/>
                <w:lang w:eastAsia="en-CA"/>
              </w:rPr>
              <w:t xml:space="preserve">                                                                                                                                       </w:t>
            </w:r>
          </w:p>
        </w:tc>
      </w:tr>
      <w:tr w:rsidR="00544C8E" w:rsidRPr="00981466" w14:paraId="2D188C53" w14:textId="77777777" w:rsidTr="00981466">
        <w:trPr>
          <w:trHeight w:val="278"/>
        </w:trPr>
        <w:tc>
          <w:tcPr>
            <w:tcW w:w="6480" w:type="dxa"/>
            <w:shd w:val="clear" w:color="auto" w:fill="auto"/>
            <w:noWrap/>
            <w:vAlign w:val="center"/>
            <w:hideMark/>
          </w:tcPr>
          <w:p w14:paraId="395DE2AC" w14:textId="77777777" w:rsidR="00544C8E" w:rsidRPr="00981466" w:rsidRDefault="00544C8E"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Closing Balance</w:t>
            </w:r>
          </w:p>
        </w:tc>
        <w:tc>
          <w:tcPr>
            <w:tcW w:w="1980" w:type="dxa"/>
            <w:shd w:val="clear" w:color="auto" w:fill="auto"/>
            <w:noWrap/>
            <w:vAlign w:val="center"/>
            <w:hideMark/>
          </w:tcPr>
          <w:p w14:paraId="61CDBEAB" w14:textId="25B64E9E" w:rsidR="00544C8E" w:rsidRPr="00981466" w:rsidRDefault="00DE2C60" w:rsidP="00F44317">
            <w:pPr>
              <w:overflowPunct/>
              <w:autoSpaceDE/>
              <w:autoSpaceDN/>
              <w:adjustRightInd/>
              <w:jc w:val="right"/>
              <w:textAlignment w:val="auto"/>
              <w:rPr>
                <w:color w:val="000000"/>
                <w:sz w:val="24"/>
                <w:szCs w:val="22"/>
                <w:lang w:val="en-CA" w:eastAsia="en-CA"/>
              </w:rPr>
            </w:pPr>
            <w:r>
              <w:rPr>
                <w:color w:val="000000"/>
                <w:sz w:val="24"/>
                <w:szCs w:val="22"/>
                <w:lang w:eastAsia="en-CA"/>
              </w:rPr>
              <w:t>2</w:t>
            </w:r>
            <w:r w:rsidR="00D55AD8">
              <w:rPr>
                <w:color w:val="000000"/>
                <w:sz w:val="24"/>
                <w:szCs w:val="22"/>
                <w:lang w:eastAsia="en-CA"/>
              </w:rPr>
              <w:t>89,</w:t>
            </w:r>
            <w:r>
              <w:rPr>
                <w:color w:val="000000"/>
                <w:sz w:val="24"/>
                <w:szCs w:val="22"/>
                <w:lang w:eastAsia="en-CA"/>
              </w:rPr>
              <w:t>863</w:t>
            </w:r>
          </w:p>
        </w:tc>
      </w:tr>
    </w:tbl>
    <w:p w14:paraId="21CC1CB4" w14:textId="77777777" w:rsidR="00100959" w:rsidRPr="00981466" w:rsidRDefault="00100959" w:rsidP="00EC07BA">
      <w:pPr>
        <w:overflowPunct/>
        <w:autoSpaceDE/>
        <w:autoSpaceDN/>
        <w:adjustRightInd/>
        <w:textAlignment w:val="auto"/>
        <w:rPr>
          <w:b/>
          <w:sz w:val="28"/>
          <w:szCs w:val="22"/>
        </w:rPr>
      </w:pPr>
    </w:p>
    <w:p w14:paraId="2E75E2FC" w14:textId="77777777" w:rsidR="00EC07BA" w:rsidRPr="00981466" w:rsidRDefault="000D3DBF" w:rsidP="00981466">
      <w:pPr>
        <w:numPr>
          <w:ilvl w:val="0"/>
          <w:numId w:val="7"/>
        </w:numPr>
        <w:tabs>
          <w:tab w:val="clear" w:pos="1800"/>
          <w:tab w:val="num" w:pos="720"/>
        </w:tabs>
        <w:overflowPunct/>
        <w:autoSpaceDE/>
        <w:autoSpaceDN/>
        <w:adjustRightInd/>
        <w:ind w:left="720" w:hanging="720"/>
        <w:jc w:val="both"/>
        <w:textAlignment w:val="auto"/>
        <w:rPr>
          <w:b/>
          <w:sz w:val="24"/>
          <w:szCs w:val="22"/>
        </w:rPr>
      </w:pPr>
      <w:r w:rsidRPr="005566C0">
        <w:rPr>
          <w:b/>
          <w:sz w:val="24"/>
          <w:szCs w:val="22"/>
        </w:rPr>
        <w:t xml:space="preserve">DF-4 : </w:t>
      </w:r>
      <w:r w:rsidR="00EC07BA" w:rsidRPr="005566C0">
        <w:rPr>
          <w:b/>
          <w:sz w:val="24"/>
          <w:szCs w:val="22"/>
        </w:rPr>
        <w:t>Credit Risk</w:t>
      </w:r>
      <w:r w:rsidR="00EC07BA" w:rsidRPr="00981466">
        <w:rPr>
          <w:b/>
          <w:sz w:val="24"/>
          <w:szCs w:val="22"/>
        </w:rPr>
        <w:t xml:space="preserve"> - Disclosures for Portfolios Subjec</w:t>
      </w:r>
      <w:r w:rsidRPr="00981466">
        <w:rPr>
          <w:b/>
          <w:sz w:val="24"/>
          <w:szCs w:val="22"/>
        </w:rPr>
        <w:t>t to the Standardised Approach</w:t>
      </w:r>
    </w:p>
    <w:p w14:paraId="7B919CDC" w14:textId="77777777" w:rsidR="00EC07BA" w:rsidRPr="00981466" w:rsidRDefault="00EC07BA" w:rsidP="00EC07BA">
      <w:pPr>
        <w:ind w:firstLine="720"/>
        <w:rPr>
          <w:b/>
          <w:sz w:val="24"/>
          <w:szCs w:val="22"/>
        </w:rPr>
      </w:pPr>
      <w:r w:rsidRPr="00981466">
        <w:rPr>
          <w:b/>
          <w:sz w:val="24"/>
          <w:szCs w:val="22"/>
        </w:rPr>
        <w:t>Qualitative Disclosures</w:t>
      </w:r>
    </w:p>
    <w:p w14:paraId="1C3B906C" w14:textId="77777777" w:rsidR="00EC07BA" w:rsidRPr="00981466" w:rsidRDefault="00EC07BA" w:rsidP="00EC07BA">
      <w:pPr>
        <w:ind w:left="720"/>
        <w:jc w:val="both"/>
        <w:rPr>
          <w:sz w:val="24"/>
          <w:szCs w:val="22"/>
        </w:rPr>
      </w:pPr>
      <w:r w:rsidRPr="00981466">
        <w:rPr>
          <w:sz w:val="24"/>
          <w:szCs w:val="22"/>
        </w:rPr>
        <w:t xml:space="preserve">The Bank has adopted the standardized approach of the new Capital Adequacy Framework (NCAF) for computation of capital for credit risk with effect from </w:t>
      </w:r>
      <w:r w:rsidR="00977291" w:rsidRPr="00981466">
        <w:rPr>
          <w:sz w:val="24"/>
          <w:szCs w:val="22"/>
        </w:rPr>
        <w:t>31 March 2008</w:t>
      </w:r>
      <w:r w:rsidRPr="00981466">
        <w:rPr>
          <w:sz w:val="24"/>
          <w:szCs w:val="22"/>
        </w:rPr>
        <w:t xml:space="preserve">. The Bank has assigned risk weights to different classes of assets as prescribed by RBI. </w:t>
      </w:r>
    </w:p>
    <w:p w14:paraId="34203350" w14:textId="77777777" w:rsidR="00EC07BA" w:rsidRPr="00981466" w:rsidRDefault="00EC07BA" w:rsidP="00EC07BA">
      <w:pPr>
        <w:ind w:left="720"/>
        <w:rPr>
          <w:sz w:val="24"/>
          <w:szCs w:val="22"/>
        </w:rPr>
      </w:pPr>
    </w:p>
    <w:p w14:paraId="525D40C1" w14:textId="5DF2BF90" w:rsidR="00EC07BA" w:rsidRPr="00981466" w:rsidRDefault="00146B99" w:rsidP="00EC07BA">
      <w:pPr>
        <w:ind w:left="720"/>
        <w:jc w:val="both"/>
        <w:rPr>
          <w:sz w:val="24"/>
          <w:szCs w:val="22"/>
        </w:rPr>
      </w:pPr>
      <w:r w:rsidRPr="00981466">
        <w:rPr>
          <w:sz w:val="24"/>
          <w:szCs w:val="22"/>
        </w:rPr>
        <w:t xml:space="preserve">As at </w:t>
      </w:r>
      <w:r w:rsidR="00977291" w:rsidRPr="00981466">
        <w:rPr>
          <w:sz w:val="24"/>
          <w:szCs w:val="22"/>
        </w:rPr>
        <w:t xml:space="preserve">31 March </w:t>
      </w:r>
      <w:r w:rsidR="006C2CF9">
        <w:rPr>
          <w:sz w:val="24"/>
          <w:szCs w:val="22"/>
        </w:rPr>
        <w:t>2021</w:t>
      </w:r>
      <w:r w:rsidR="00EC07BA" w:rsidRPr="00981466">
        <w:rPr>
          <w:sz w:val="24"/>
          <w:szCs w:val="22"/>
        </w:rPr>
        <w:t>, the Bank has not considered external rating of claims of any borrower counterparty.</w:t>
      </w:r>
    </w:p>
    <w:p w14:paraId="5E8A0AE5" w14:textId="77777777" w:rsidR="00346965" w:rsidRPr="00981466" w:rsidRDefault="00346965" w:rsidP="00EC07BA">
      <w:pPr>
        <w:ind w:left="720"/>
        <w:rPr>
          <w:b/>
          <w:color w:val="3366FF"/>
          <w:sz w:val="24"/>
          <w:szCs w:val="22"/>
        </w:rPr>
      </w:pPr>
    </w:p>
    <w:p w14:paraId="70D0EAC6" w14:textId="77777777" w:rsidR="00EC07BA" w:rsidRPr="00981466" w:rsidRDefault="00EC07BA" w:rsidP="0074533B">
      <w:pPr>
        <w:ind w:left="720"/>
        <w:rPr>
          <w:b/>
          <w:sz w:val="24"/>
          <w:szCs w:val="22"/>
        </w:rPr>
      </w:pPr>
      <w:r w:rsidRPr="00981466">
        <w:rPr>
          <w:b/>
          <w:sz w:val="24"/>
          <w:szCs w:val="22"/>
        </w:rPr>
        <w:t>Quantitative Disclosures</w:t>
      </w:r>
      <w:r w:rsidR="00B92324" w:rsidRPr="00981466">
        <w:rPr>
          <w:b/>
          <w:sz w:val="24"/>
          <w:szCs w:val="22"/>
        </w:rPr>
        <w:t xml:space="preserve"> of exposure </w:t>
      </w:r>
      <w:r w:rsidR="0074533B" w:rsidRPr="00981466">
        <w:rPr>
          <w:b/>
          <w:sz w:val="24"/>
          <w:szCs w:val="22"/>
        </w:rPr>
        <w:t xml:space="preserve">                                  </w:t>
      </w:r>
      <w:r w:rsidR="00981466">
        <w:rPr>
          <w:b/>
          <w:sz w:val="24"/>
          <w:szCs w:val="22"/>
        </w:rPr>
        <w:t xml:space="preserve">                             </w:t>
      </w:r>
      <w:r w:rsidR="0074533B" w:rsidRPr="00981466">
        <w:rPr>
          <w:b/>
          <w:sz w:val="24"/>
          <w:szCs w:val="22"/>
        </w:rPr>
        <w:t xml:space="preserve">  </w:t>
      </w:r>
      <w:r w:rsidRPr="00981466">
        <w:rPr>
          <w:sz w:val="24"/>
          <w:szCs w:val="22"/>
        </w:rPr>
        <w:t>(</w:t>
      </w:r>
      <w:r w:rsidR="002B2C1E" w:rsidRPr="00981466">
        <w:rPr>
          <w:sz w:val="24"/>
          <w:szCs w:val="22"/>
        </w:rPr>
        <w:t xml:space="preserve">In </w:t>
      </w:r>
      <w:r w:rsidRPr="00981466">
        <w:rPr>
          <w:sz w:val="24"/>
          <w:szCs w:val="22"/>
        </w:rPr>
        <w:t>Rs.000</w:t>
      </w:r>
      <w:r w:rsidR="00DF1CD2" w:rsidRPr="00981466">
        <w:rPr>
          <w:sz w:val="24"/>
          <w:szCs w:val="22"/>
        </w:rPr>
        <w:t>’</w:t>
      </w:r>
      <w:r w:rsidRPr="00981466">
        <w:rPr>
          <w:sz w:val="24"/>
          <w:szCs w:val="22"/>
        </w:rPr>
        <w:t>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1890"/>
      </w:tblGrid>
      <w:tr w:rsidR="00100959" w:rsidRPr="00981466" w14:paraId="2562BD21" w14:textId="77777777" w:rsidTr="00981466">
        <w:trPr>
          <w:trHeight w:val="300"/>
        </w:trPr>
        <w:tc>
          <w:tcPr>
            <w:tcW w:w="7110" w:type="dxa"/>
            <w:shd w:val="clear" w:color="auto" w:fill="auto"/>
            <w:vAlign w:val="center"/>
            <w:hideMark/>
          </w:tcPr>
          <w:p w14:paraId="19CBAA3D" w14:textId="77777777" w:rsidR="00100959" w:rsidRPr="00981466" w:rsidRDefault="00100959" w:rsidP="00100959">
            <w:pPr>
              <w:overflowPunct/>
              <w:autoSpaceDE/>
              <w:autoSpaceDN/>
              <w:adjustRightInd/>
              <w:textAlignment w:val="auto"/>
              <w:rPr>
                <w:color w:val="000000"/>
                <w:sz w:val="24"/>
                <w:szCs w:val="22"/>
                <w:lang w:val="en-CA" w:eastAsia="en-CA"/>
              </w:rPr>
            </w:pPr>
            <w:r w:rsidRPr="00981466">
              <w:rPr>
                <w:color w:val="000000"/>
                <w:sz w:val="24"/>
                <w:szCs w:val="22"/>
                <w:lang w:eastAsia="en-CA"/>
              </w:rPr>
              <w:t>Below 100 % Risk Weight</w:t>
            </w:r>
          </w:p>
        </w:tc>
        <w:tc>
          <w:tcPr>
            <w:tcW w:w="1890" w:type="dxa"/>
            <w:shd w:val="clear" w:color="auto" w:fill="auto"/>
            <w:noWrap/>
            <w:vAlign w:val="center"/>
            <w:hideMark/>
          </w:tcPr>
          <w:p w14:paraId="354EA6D3" w14:textId="3FFEFC06" w:rsidR="00100959" w:rsidRPr="00BE774C" w:rsidRDefault="002C7F23" w:rsidP="001B41FA">
            <w:pPr>
              <w:overflowPunct/>
              <w:autoSpaceDE/>
              <w:autoSpaceDN/>
              <w:adjustRightInd/>
              <w:jc w:val="right"/>
              <w:textAlignment w:val="auto"/>
              <w:rPr>
                <w:color w:val="000000"/>
                <w:sz w:val="24"/>
                <w:szCs w:val="22"/>
                <w:lang w:val="en-CA" w:eastAsia="en-CA"/>
              </w:rPr>
            </w:pPr>
            <w:r>
              <w:rPr>
                <w:color w:val="000000"/>
                <w:sz w:val="24"/>
                <w:szCs w:val="22"/>
                <w:lang w:val="en-CA" w:eastAsia="en-CA"/>
              </w:rPr>
              <w:t>58</w:t>
            </w:r>
            <w:r w:rsidR="009B699D" w:rsidRPr="00BE774C">
              <w:rPr>
                <w:color w:val="000000"/>
                <w:sz w:val="24"/>
                <w:szCs w:val="22"/>
                <w:lang w:val="en-CA" w:eastAsia="en-CA"/>
              </w:rPr>
              <w:t>,</w:t>
            </w:r>
            <w:r>
              <w:rPr>
                <w:color w:val="000000"/>
                <w:sz w:val="24"/>
                <w:szCs w:val="22"/>
                <w:lang w:val="en-CA" w:eastAsia="en-CA"/>
              </w:rPr>
              <w:t>431</w:t>
            </w:r>
            <w:r w:rsidR="009B699D" w:rsidRPr="00BE774C">
              <w:rPr>
                <w:color w:val="000000"/>
                <w:sz w:val="24"/>
                <w:szCs w:val="22"/>
                <w:lang w:val="en-CA" w:eastAsia="en-CA"/>
              </w:rPr>
              <w:t>,</w:t>
            </w:r>
            <w:r>
              <w:rPr>
                <w:color w:val="000000"/>
                <w:sz w:val="24"/>
                <w:szCs w:val="22"/>
                <w:lang w:val="en-CA" w:eastAsia="en-CA"/>
              </w:rPr>
              <w:t>962</w:t>
            </w:r>
          </w:p>
        </w:tc>
      </w:tr>
      <w:tr w:rsidR="00100959" w:rsidRPr="00981466" w14:paraId="21C462B8" w14:textId="77777777" w:rsidTr="00981466">
        <w:trPr>
          <w:trHeight w:val="300"/>
        </w:trPr>
        <w:tc>
          <w:tcPr>
            <w:tcW w:w="7110" w:type="dxa"/>
            <w:shd w:val="clear" w:color="auto" w:fill="auto"/>
            <w:vAlign w:val="center"/>
            <w:hideMark/>
          </w:tcPr>
          <w:p w14:paraId="57FE519C" w14:textId="77777777" w:rsidR="00100959" w:rsidRPr="00981466" w:rsidRDefault="00100959" w:rsidP="00100959">
            <w:pPr>
              <w:overflowPunct/>
              <w:autoSpaceDE/>
              <w:autoSpaceDN/>
              <w:adjustRightInd/>
              <w:textAlignment w:val="auto"/>
              <w:rPr>
                <w:color w:val="000000"/>
                <w:sz w:val="24"/>
                <w:szCs w:val="22"/>
                <w:lang w:val="en-CA" w:eastAsia="en-CA"/>
              </w:rPr>
            </w:pPr>
            <w:r w:rsidRPr="00981466">
              <w:rPr>
                <w:color w:val="000000"/>
                <w:sz w:val="24"/>
                <w:szCs w:val="22"/>
                <w:lang w:eastAsia="en-CA"/>
              </w:rPr>
              <w:t>100 % Risk Weight</w:t>
            </w:r>
          </w:p>
        </w:tc>
        <w:tc>
          <w:tcPr>
            <w:tcW w:w="1890" w:type="dxa"/>
            <w:shd w:val="clear" w:color="auto" w:fill="auto"/>
            <w:noWrap/>
            <w:vAlign w:val="center"/>
            <w:hideMark/>
          </w:tcPr>
          <w:p w14:paraId="528DB778" w14:textId="337AABFF" w:rsidR="00100959" w:rsidRPr="00BE774C" w:rsidRDefault="009410BF" w:rsidP="001B41FA">
            <w:pPr>
              <w:overflowPunct/>
              <w:autoSpaceDE/>
              <w:autoSpaceDN/>
              <w:adjustRightInd/>
              <w:jc w:val="right"/>
              <w:textAlignment w:val="auto"/>
              <w:rPr>
                <w:color w:val="000000"/>
                <w:sz w:val="24"/>
                <w:szCs w:val="22"/>
                <w:lang w:val="en-CA" w:eastAsia="en-CA"/>
              </w:rPr>
            </w:pPr>
            <w:r>
              <w:rPr>
                <w:color w:val="000000"/>
                <w:sz w:val="24"/>
                <w:szCs w:val="22"/>
                <w:lang w:val="en-CA" w:eastAsia="en-CA"/>
              </w:rPr>
              <w:t>-</w:t>
            </w:r>
          </w:p>
        </w:tc>
      </w:tr>
      <w:tr w:rsidR="00100959" w:rsidRPr="00981466" w14:paraId="0212F73F" w14:textId="77777777" w:rsidTr="00981466">
        <w:trPr>
          <w:trHeight w:val="300"/>
        </w:trPr>
        <w:tc>
          <w:tcPr>
            <w:tcW w:w="7110" w:type="dxa"/>
            <w:shd w:val="clear" w:color="auto" w:fill="auto"/>
            <w:vAlign w:val="center"/>
            <w:hideMark/>
          </w:tcPr>
          <w:p w14:paraId="060BE472" w14:textId="77777777" w:rsidR="00100959" w:rsidRPr="00981466" w:rsidRDefault="00100959" w:rsidP="00100959">
            <w:pPr>
              <w:overflowPunct/>
              <w:autoSpaceDE/>
              <w:autoSpaceDN/>
              <w:adjustRightInd/>
              <w:textAlignment w:val="auto"/>
              <w:rPr>
                <w:color w:val="000000"/>
                <w:sz w:val="24"/>
                <w:szCs w:val="22"/>
                <w:lang w:val="en-CA" w:eastAsia="en-CA"/>
              </w:rPr>
            </w:pPr>
            <w:r w:rsidRPr="00981466">
              <w:rPr>
                <w:color w:val="000000"/>
                <w:sz w:val="24"/>
                <w:szCs w:val="22"/>
                <w:lang w:eastAsia="en-CA"/>
              </w:rPr>
              <w:t>More than 100 % Risk Weight</w:t>
            </w:r>
          </w:p>
        </w:tc>
        <w:tc>
          <w:tcPr>
            <w:tcW w:w="1890" w:type="dxa"/>
            <w:shd w:val="clear" w:color="auto" w:fill="auto"/>
            <w:noWrap/>
            <w:vAlign w:val="center"/>
          </w:tcPr>
          <w:p w14:paraId="1147945A" w14:textId="64BD13CC" w:rsidR="00100959" w:rsidRPr="00BE774C" w:rsidRDefault="009410BF" w:rsidP="00FB613F">
            <w:pPr>
              <w:overflowPunct/>
              <w:autoSpaceDE/>
              <w:autoSpaceDN/>
              <w:adjustRightInd/>
              <w:jc w:val="right"/>
              <w:textAlignment w:val="auto"/>
              <w:rPr>
                <w:color w:val="000000"/>
                <w:sz w:val="24"/>
                <w:szCs w:val="22"/>
                <w:lang w:val="en-CA" w:eastAsia="en-CA"/>
              </w:rPr>
            </w:pPr>
            <w:r>
              <w:rPr>
                <w:color w:val="000000"/>
                <w:sz w:val="24"/>
                <w:szCs w:val="22"/>
                <w:lang w:val="en-CA" w:eastAsia="en-CA"/>
              </w:rPr>
              <w:t>22,576,287</w:t>
            </w:r>
          </w:p>
        </w:tc>
      </w:tr>
      <w:tr w:rsidR="00100959" w:rsidRPr="00981466" w14:paraId="06CB4FC8" w14:textId="77777777" w:rsidTr="00981466">
        <w:trPr>
          <w:trHeight w:val="300"/>
        </w:trPr>
        <w:tc>
          <w:tcPr>
            <w:tcW w:w="7110" w:type="dxa"/>
            <w:shd w:val="clear" w:color="auto" w:fill="auto"/>
            <w:vAlign w:val="center"/>
            <w:hideMark/>
          </w:tcPr>
          <w:p w14:paraId="2CA3E85B" w14:textId="77777777" w:rsidR="00100959" w:rsidRPr="00981466" w:rsidRDefault="00100959" w:rsidP="00100959">
            <w:pPr>
              <w:overflowPunct/>
              <w:autoSpaceDE/>
              <w:autoSpaceDN/>
              <w:adjustRightInd/>
              <w:textAlignment w:val="auto"/>
              <w:rPr>
                <w:color w:val="000000"/>
                <w:sz w:val="24"/>
                <w:szCs w:val="22"/>
                <w:lang w:val="en-CA" w:eastAsia="en-CA"/>
              </w:rPr>
            </w:pPr>
            <w:r w:rsidRPr="00981466">
              <w:rPr>
                <w:color w:val="000000"/>
                <w:sz w:val="24"/>
                <w:szCs w:val="22"/>
                <w:lang w:eastAsia="en-CA"/>
              </w:rPr>
              <w:t>Deducted</w:t>
            </w:r>
          </w:p>
        </w:tc>
        <w:tc>
          <w:tcPr>
            <w:tcW w:w="1890" w:type="dxa"/>
            <w:shd w:val="clear" w:color="auto" w:fill="auto"/>
            <w:noWrap/>
            <w:vAlign w:val="center"/>
            <w:hideMark/>
          </w:tcPr>
          <w:p w14:paraId="2715B4F1" w14:textId="77777777" w:rsidR="00100959" w:rsidRPr="00BE774C" w:rsidRDefault="003B0EBC" w:rsidP="003B0EBC">
            <w:pPr>
              <w:overflowPunct/>
              <w:autoSpaceDE/>
              <w:autoSpaceDN/>
              <w:adjustRightInd/>
              <w:jc w:val="right"/>
              <w:textAlignment w:val="auto"/>
              <w:rPr>
                <w:color w:val="000000"/>
                <w:sz w:val="24"/>
                <w:szCs w:val="22"/>
                <w:lang w:val="en-CA" w:eastAsia="en-CA"/>
              </w:rPr>
            </w:pPr>
            <w:r w:rsidRPr="00BE774C">
              <w:rPr>
                <w:color w:val="000000"/>
                <w:sz w:val="24"/>
                <w:szCs w:val="22"/>
                <w:lang w:val="en-CA" w:eastAsia="en-CA"/>
              </w:rPr>
              <w:t>-</w:t>
            </w:r>
            <w:r w:rsidR="00100959" w:rsidRPr="00BE774C">
              <w:rPr>
                <w:color w:val="000000"/>
                <w:sz w:val="24"/>
                <w:szCs w:val="22"/>
                <w:lang w:val="en-CA" w:eastAsia="en-CA"/>
              </w:rPr>
              <w:t xml:space="preserve">                                                                                                                                        </w:t>
            </w:r>
          </w:p>
        </w:tc>
      </w:tr>
    </w:tbl>
    <w:p w14:paraId="40C0510C" w14:textId="77777777" w:rsidR="00EC07BA" w:rsidRPr="00981466" w:rsidRDefault="00EC07BA" w:rsidP="00EC07BA">
      <w:pPr>
        <w:ind w:left="720"/>
        <w:jc w:val="both"/>
        <w:rPr>
          <w:sz w:val="24"/>
          <w:szCs w:val="22"/>
          <w:lang w:val="en-US"/>
        </w:rPr>
      </w:pPr>
    </w:p>
    <w:p w14:paraId="02151A5E" w14:textId="77777777" w:rsidR="004C1CA7" w:rsidRPr="00981466" w:rsidRDefault="004C1CA7" w:rsidP="004C1CA7">
      <w:pPr>
        <w:numPr>
          <w:ilvl w:val="0"/>
          <w:numId w:val="7"/>
        </w:numPr>
        <w:tabs>
          <w:tab w:val="clear" w:pos="1800"/>
          <w:tab w:val="num" w:pos="720"/>
        </w:tabs>
        <w:overflowPunct/>
        <w:autoSpaceDE/>
        <w:autoSpaceDN/>
        <w:adjustRightInd/>
        <w:ind w:left="720" w:hanging="720"/>
        <w:textAlignment w:val="auto"/>
        <w:rPr>
          <w:b/>
          <w:sz w:val="24"/>
          <w:szCs w:val="22"/>
        </w:rPr>
      </w:pPr>
      <w:r w:rsidRPr="00981466">
        <w:rPr>
          <w:b/>
          <w:sz w:val="24"/>
          <w:szCs w:val="22"/>
        </w:rPr>
        <w:t>DF-5: Credit Risk Mitigation - Disclosures for Standardised Approach</w:t>
      </w:r>
    </w:p>
    <w:p w14:paraId="7EA12E22" w14:textId="77777777" w:rsidR="004C1CA7" w:rsidRPr="00981466" w:rsidRDefault="004C1CA7" w:rsidP="004C1CA7">
      <w:pPr>
        <w:ind w:left="720"/>
        <w:rPr>
          <w:b/>
          <w:sz w:val="24"/>
          <w:szCs w:val="22"/>
        </w:rPr>
      </w:pPr>
      <w:r w:rsidRPr="00981466">
        <w:rPr>
          <w:b/>
          <w:sz w:val="24"/>
          <w:szCs w:val="22"/>
        </w:rPr>
        <w:t>Qualitative Disclosures</w:t>
      </w:r>
    </w:p>
    <w:p w14:paraId="0873D215" w14:textId="77777777" w:rsidR="004C1CA7" w:rsidRPr="00981466" w:rsidRDefault="004C1CA7" w:rsidP="004C1CA7">
      <w:pPr>
        <w:pStyle w:val="BodySingle"/>
        <w:ind w:left="720"/>
        <w:jc w:val="both"/>
        <w:rPr>
          <w:b/>
          <w:color w:val="FF0000"/>
          <w:szCs w:val="22"/>
          <w:lang w:val="en-CA"/>
        </w:rPr>
      </w:pPr>
      <w:r w:rsidRPr="00981466">
        <w:rPr>
          <w:szCs w:val="22"/>
        </w:rPr>
        <w:t xml:space="preserve">The Bank’s objective in securing collateral is to minimize losses and therefore is an important aspect of the Bank’s credit risk mitigation strategy. Collateral refers to assets in which the Bank takes a legal interest in order to mitigate losses should a borrower counterparty default. The bank ensures that the taken collateral effectively mitigates substantial losses. The bank has </w:t>
      </w:r>
      <w:r w:rsidRPr="00981466">
        <w:rPr>
          <w:szCs w:val="22"/>
          <w:lang w:val="en-CA"/>
        </w:rPr>
        <w:t xml:space="preserve">ensured compliance with respect to  the right to legally take control, liquidate or otherwise deal with collateral when required. </w:t>
      </w:r>
    </w:p>
    <w:p w14:paraId="5E4F2041" w14:textId="77777777" w:rsidR="004C1CA7" w:rsidRPr="00981466" w:rsidRDefault="004C1CA7" w:rsidP="004C1CA7">
      <w:pPr>
        <w:pStyle w:val="BodySingle"/>
        <w:ind w:left="720"/>
        <w:jc w:val="both"/>
        <w:rPr>
          <w:szCs w:val="22"/>
        </w:rPr>
      </w:pPr>
      <w:r w:rsidRPr="00981466">
        <w:rPr>
          <w:szCs w:val="22"/>
        </w:rPr>
        <w:t xml:space="preserve"> </w:t>
      </w:r>
    </w:p>
    <w:p w14:paraId="1C955966" w14:textId="77777777" w:rsidR="004C1CA7" w:rsidRPr="00981466" w:rsidRDefault="004C1CA7" w:rsidP="004C1CA7">
      <w:pPr>
        <w:pStyle w:val="BodySingle"/>
        <w:ind w:left="720"/>
        <w:jc w:val="both"/>
        <w:rPr>
          <w:szCs w:val="24"/>
          <w:lang w:val="en-US"/>
        </w:rPr>
      </w:pPr>
      <w:r w:rsidRPr="00981466">
        <w:rPr>
          <w:szCs w:val="24"/>
        </w:rPr>
        <w:t xml:space="preserve">As at 31 March </w:t>
      </w:r>
      <w:r>
        <w:rPr>
          <w:szCs w:val="24"/>
        </w:rPr>
        <w:t>2021</w:t>
      </w:r>
      <w:r w:rsidRPr="00981466">
        <w:rPr>
          <w:szCs w:val="24"/>
        </w:rPr>
        <w:t>, the Bank has recognized the following collateral as eligible credit risk mitigant:</w:t>
      </w:r>
    </w:p>
    <w:p w14:paraId="2893543B" w14:textId="77777777" w:rsidR="004C1CA7" w:rsidRPr="00981466" w:rsidRDefault="004C1CA7" w:rsidP="004C1CA7">
      <w:pPr>
        <w:pStyle w:val="BodySingle"/>
        <w:ind w:left="720"/>
        <w:jc w:val="both"/>
        <w:rPr>
          <w:szCs w:val="24"/>
          <w:lang w:val="en-US"/>
        </w:rPr>
      </w:pPr>
    </w:p>
    <w:p w14:paraId="37131B6C" w14:textId="77777777" w:rsidR="004C1CA7" w:rsidRPr="00981466" w:rsidRDefault="004C1CA7" w:rsidP="004C1CA7">
      <w:pPr>
        <w:pStyle w:val="BodySingle"/>
        <w:widowControl w:val="0"/>
        <w:numPr>
          <w:ilvl w:val="1"/>
          <w:numId w:val="4"/>
        </w:numPr>
        <w:suppressAutoHyphens/>
        <w:overflowPunct/>
        <w:autoSpaceDE/>
        <w:autoSpaceDN/>
        <w:ind w:left="720" w:firstLine="0"/>
        <w:jc w:val="both"/>
        <w:rPr>
          <w:szCs w:val="24"/>
        </w:rPr>
      </w:pPr>
      <w:r w:rsidRPr="00981466">
        <w:rPr>
          <w:szCs w:val="24"/>
        </w:rPr>
        <w:t>Cash (including bank’s own fixed deposit receipts) on deposit with the Bank.</w:t>
      </w:r>
    </w:p>
    <w:p w14:paraId="730FDCB7" w14:textId="77777777" w:rsidR="004C1CA7" w:rsidRPr="00981466" w:rsidRDefault="004C1CA7" w:rsidP="004C1CA7">
      <w:pPr>
        <w:pStyle w:val="BodySingle"/>
        <w:widowControl w:val="0"/>
        <w:tabs>
          <w:tab w:val="num" w:pos="3330"/>
        </w:tabs>
        <w:suppressAutoHyphens/>
        <w:overflowPunct/>
        <w:autoSpaceDE/>
        <w:autoSpaceDN/>
        <w:ind w:left="720"/>
        <w:jc w:val="both"/>
        <w:rPr>
          <w:szCs w:val="24"/>
        </w:rPr>
      </w:pPr>
    </w:p>
    <w:p w14:paraId="42935A8E" w14:textId="77777777" w:rsidR="004C1CA7" w:rsidRPr="00981466" w:rsidRDefault="004C1CA7" w:rsidP="004C1CA7">
      <w:pPr>
        <w:pStyle w:val="BodySingle"/>
        <w:ind w:left="720"/>
        <w:jc w:val="both"/>
        <w:rPr>
          <w:szCs w:val="24"/>
          <w:lang w:val="en-US"/>
        </w:rPr>
      </w:pPr>
      <w:r w:rsidRPr="00981466">
        <w:rPr>
          <w:szCs w:val="24"/>
          <w:lang w:val="en-CA"/>
        </w:rPr>
        <w:t>Cash as eligible financial collateral (FC) is readily realisable security and accordingly no limit has been prescribed to check concentration risk by the bank. Further, eligible c</w:t>
      </w:r>
      <w:r w:rsidRPr="00981466">
        <w:rPr>
          <w:szCs w:val="24"/>
        </w:rPr>
        <w:t xml:space="preserve">ash as financial collateral is </w:t>
      </w:r>
      <w:r w:rsidRPr="00BE774C">
        <w:rPr>
          <w:szCs w:val="24"/>
          <w:lang w:val="en-US"/>
        </w:rPr>
        <w:t>0.00</w:t>
      </w:r>
      <w:r w:rsidRPr="00981466">
        <w:rPr>
          <w:szCs w:val="24"/>
        </w:rPr>
        <w:t xml:space="preserve"> % of total Risk Weighted Assets as at 31 March </w:t>
      </w:r>
      <w:r>
        <w:rPr>
          <w:szCs w:val="24"/>
        </w:rPr>
        <w:t>2021</w:t>
      </w:r>
      <w:r w:rsidRPr="00981466">
        <w:rPr>
          <w:szCs w:val="24"/>
        </w:rPr>
        <w:t>.</w:t>
      </w:r>
    </w:p>
    <w:p w14:paraId="2A05E004" w14:textId="77777777" w:rsidR="004C1CA7" w:rsidRPr="00981466" w:rsidRDefault="004C1CA7" w:rsidP="004C1CA7">
      <w:pPr>
        <w:pStyle w:val="BodySingle"/>
        <w:ind w:left="720"/>
        <w:jc w:val="both"/>
        <w:rPr>
          <w:szCs w:val="24"/>
          <w:lang w:val="en-US"/>
        </w:rPr>
      </w:pPr>
    </w:p>
    <w:p w14:paraId="3E6FB88B" w14:textId="77777777" w:rsidR="004C1CA7" w:rsidRPr="00981466" w:rsidRDefault="004C1CA7" w:rsidP="004C1CA7">
      <w:pPr>
        <w:ind w:firstLine="720"/>
        <w:rPr>
          <w:b/>
          <w:sz w:val="24"/>
          <w:szCs w:val="24"/>
        </w:rPr>
      </w:pPr>
      <w:r w:rsidRPr="00981466">
        <w:rPr>
          <w:b/>
          <w:sz w:val="24"/>
          <w:szCs w:val="24"/>
        </w:rPr>
        <w:t>Quantitative Disclosures</w:t>
      </w:r>
    </w:p>
    <w:p w14:paraId="5F078416" w14:textId="77777777" w:rsidR="004C1CA7" w:rsidRPr="00981466" w:rsidRDefault="004C1CA7" w:rsidP="004C1CA7">
      <w:pPr>
        <w:tabs>
          <w:tab w:val="left" w:pos="1440"/>
        </w:tabs>
        <w:ind w:left="1440" w:hanging="720"/>
        <w:jc w:val="both"/>
        <w:rPr>
          <w:sz w:val="24"/>
          <w:szCs w:val="24"/>
        </w:rPr>
      </w:pPr>
      <w:r w:rsidRPr="00981466">
        <w:rPr>
          <w:sz w:val="24"/>
          <w:szCs w:val="24"/>
        </w:rPr>
        <w:t>(a)</w:t>
      </w:r>
      <w:r w:rsidRPr="00981466">
        <w:rPr>
          <w:sz w:val="24"/>
          <w:szCs w:val="24"/>
        </w:rPr>
        <w:tab/>
        <w:t>For each separately disclosed credit risk portfolio the total exposure that is covered by eligible financial collateral after the application of haircuts:</w:t>
      </w:r>
    </w:p>
    <w:p w14:paraId="3E6326CB" w14:textId="77777777" w:rsidR="004C1CA7" w:rsidRPr="00981466" w:rsidRDefault="004C1CA7" w:rsidP="004C1CA7">
      <w:pPr>
        <w:tabs>
          <w:tab w:val="left" w:pos="1440"/>
        </w:tabs>
        <w:ind w:left="1440" w:hanging="720"/>
        <w:jc w:val="center"/>
        <w:rPr>
          <w:sz w:val="24"/>
          <w:szCs w:val="24"/>
        </w:rPr>
      </w:pPr>
      <w:r w:rsidRPr="00981466">
        <w:rPr>
          <w:sz w:val="24"/>
          <w:szCs w:val="24"/>
        </w:rPr>
        <w:t xml:space="preserve">                                                                                                                 </w:t>
      </w:r>
      <w:r>
        <w:rPr>
          <w:sz w:val="24"/>
          <w:szCs w:val="24"/>
        </w:rPr>
        <w:t xml:space="preserve">    </w:t>
      </w:r>
      <w:r w:rsidRPr="00981466">
        <w:rPr>
          <w:sz w:val="24"/>
          <w:szCs w:val="24"/>
        </w:rPr>
        <w:t>(In Rs.000’s)</w:t>
      </w:r>
    </w:p>
    <w:tbl>
      <w:tblPr>
        <w:tblW w:w="0" w:type="auto"/>
        <w:tblInd w:w="828" w:type="dxa"/>
        <w:tblLayout w:type="fixed"/>
        <w:tblLook w:val="04A0" w:firstRow="1" w:lastRow="0" w:firstColumn="1" w:lastColumn="0" w:noHBand="0" w:noVBand="1"/>
      </w:tblPr>
      <w:tblGrid>
        <w:gridCol w:w="1530"/>
        <w:gridCol w:w="1350"/>
        <w:gridCol w:w="1350"/>
        <w:gridCol w:w="1530"/>
        <w:gridCol w:w="1530"/>
        <w:gridCol w:w="1710"/>
      </w:tblGrid>
      <w:tr w:rsidR="004C1CA7" w:rsidRPr="00981466" w14:paraId="4CF64B68" w14:textId="77777777" w:rsidTr="00040726">
        <w:trPr>
          <w:trHeight w:val="1200"/>
        </w:trPr>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7CD41BAD" w14:textId="77777777" w:rsidR="004C1CA7" w:rsidRPr="00981466" w:rsidRDefault="004C1CA7" w:rsidP="00040726">
            <w:pPr>
              <w:overflowPunct/>
              <w:autoSpaceDE/>
              <w:autoSpaceDN/>
              <w:adjustRightInd/>
              <w:jc w:val="center"/>
              <w:textAlignment w:val="auto"/>
              <w:rPr>
                <w:color w:val="000000"/>
                <w:sz w:val="24"/>
                <w:szCs w:val="24"/>
                <w:lang w:val="en-CA" w:eastAsia="en-CA"/>
              </w:rPr>
            </w:pPr>
            <w:r w:rsidRPr="00981466">
              <w:rPr>
                <w:color w:val="000000"/>
                <w:sz w:val="24"/>
                <w:szCs w:val="24"/>
                <w:lang w:val="en-CA" w:eastAsia="en-CA"/>
              </w:rPr>
              <w:t>Asset Class</w:t>
            </w:r>
          </w:p>
        </w:tc>
        <w:tc>
          <w:tcPr>
            <w:tcW w:w="1350" w:type="dxa"/>
            <w:tcBorders>
              <w:top w:val="single" w:sz="4" w:space="0" w:color="auto"/>
              <w:left w:val="nil"/>
              <w:bottom w:val="single" w:sz="4" w:space="0" w:color="auto"/>
              <w:right w:val="single" w:sz="4" w:space="0" w:color="auto"/>
            </w:tcBorders>
            <w:shd w:val="clear" w:color="auto" w:fill="auto"/>
            <w:hideMark/>
          </w:tcPr>
          <w:p w14:paraId="7036A532" w14:textId="77777777" w:rsidR="004C1CA7" w:rsidRPr="00981466" w:rsidRDefault="004C1CA7" w:rsidP="00040726">
            <w:pPr>
              <w:overflowPunct/>
              <w:autoSpaceDE/>
              <w:autoSpaceDN/>
              <w:adjustRightInd/>
              <w:jc w:val="center"/>
              <w:textAlignment w:val="auto"/>
              <w:rPr>
                <w:color w:val="000000"/>
                <w:sz w:val="24"/>
                <w:szCs w:val="24"/>
                <w:lang w:val="en-CA" w:eastAsia="en-CA"/>
              </w:rPr>
            </w:pPr>
            <w:r w:rsidRPr="00981466">
              <w:rPr>
                <w:color w:val="000000"/>
                <w:sz w:val="24"/>
                <w:szCs w:val="24"/>
                <w:lang w:val="en-CA" w:eastAsia="en-CA"/>
              </w:rPr>
              <w:t>Credit Risk Exposure</w:t>
            </w:r>
          </w:p>
        </w:tc>
        <w:tc>
          <w:tcPr>
            <w:tcW w:w="1350" w:type="dxa"/>
            <w:tcBorders>
              <w:top w:val="single" w:sz="4" w:space="0" w:color="auto"/>
              <w:left w:val="nil"/>
              <w:bottom w:val="single" w:sz="4" w:space="0" w:color="auto"/>
              <w:right w:val="single" w:sz="4" w:space="0" w:color="auto"/>
            </w:tcBorders>
            <w:shd w:val="clear" w:color="auto" w:fill="auto"/>
            <w:hideMark/>
          </w:tcPr>
          <w:p w14:paraId="7B6C57FC" w14:textId="77777777" w:rsidR="004C1CA7" w:rsidRPr="00981466" w:rsidRDefault="004C1CA7" w:rsidP="00040726">
            <w:pPr>
              <w:overflowPunct/>
              <w:autoSpaceDE/>
              <w:autoSpaceDN/>
              <w:adjustRightInd/>
              <w:jc w:val="center"/>
              <w:textAlignment w:val="auto"/>
              <w:rPr>
                <w:color w:val="000000"/>
                <w:sz w:val="24"/>
                <w:szCs w:val="24"/>
                <w:lang w:val="en-CA" w:eastAsia="en-CA"/>
              </w:rPr>
            </w:pPr>
            <w:r w:rsidRPr="00981466">
              <w:rPr>
                <w:color w:val="000000"/>
                <w:sz w:val="24"/>
                <w:szCs w:val="24"/>
                <w:lang w:val="en-CA" w:eastAsia="en-CA"/>
              </w:rPr>
              <w:t>Eligible FC</w:t>
            </w:r>
          </w:p>
        </w:tc>
        <w:tc>
          <w:tcPr>
            <w:tcW w:w="1530" w:type="dxa"/>
            <w:tcBorders>
              <w:top w:val="single" w:sz="4" w:space="0" w:color="auto"/>
              <w:left w:val="nil"/>
              <w:bottom w:val="single" w:sz="4" w:space="0" w:color="auto"/>
              <w:right w:val="single" w:sz="4" w:space="0" w:color="auto"/>
            </w:tcBorders>
            <w:shd w:val="clear" w:color="auto" w:fill="auto"/>
            <w:hideMark/>
          </w:tcPr>
          <w:p w14:paraId="06786340" w14:textId="77777777" w:rsidR="004C1CA7" w:rsidRPr="00981466" w:rsidRDefault="004C1CA7" w:rsidP="00040726">
            <w:pPr>
              <w:overflowPunct/>
              <w:autoSpaceDE/>
              <w:autoSpaceDN/>
              <w:adjustRightInd/>
              <w:jc w:val="center"/>
              <w:textAlignment w:val="auto"/>
              <w:rPr>
                <w:color w:val="000000"/>
                <w:sz w:val="24"/>
                <w:szCs w:val="24"/>
                <w:lang w:val="en-CA" w:eastAsia="en-CA"/>
              </w:rPr>
            </w:pPr>
            <w:r w:rsidRPr="00981466">
              <w:rPr>
                <w:color w:val="000000"/>
                <w:sz w:val="24"/>
                <w:szCs w:val="24"/>
                <w:lang w:val="en-CA" w:eastAsia="en-CA"/>
              </w:rPr>
              <w:t>Total amount of FC used</w:t>
            </w:r>
          </w:p>
        </w:tc>
        <w:tc>
          <w:tcPr>
            <w:tcW w:w="1530" w:type="dxa"/>
            <w:tcBorders>
              <w:top w:val="single" w:sz="4" w:space="0" w:color="auto"/>
              <w:left w:val="nil"/>
              <w:bottom w:val="single" w:sz="4" w:space="0" w:color="auto"/>
              <w:right w:val="single" w:sz="4" w:space="0" w:color="auto"/>
            </w:tcBorders>
            <w:shd w:val="clear" w:color="auto" w:fill="auto"/>
            <w:hideMark/>
          </w:tcPr>
          <w:p w14:paraId="538435BD" w14:textId="77777777" w:rsidR="004C1CA7" w:rsidRPr="00981466" w:rsidRDefault="004C1CA7" w:rsidP="00040726">
            <w:pPr>
              <w:overflowPunct/>
              <w:autoSpaceDE/>
              <w:autoSpaceDN/>
              <w:adjustRightInd/>
              <w:jc w:val="center"/>
              <w:textAlignment w:val="auto"/>
              <w:rPr>
                <w:color w:val="000000"/>
                <w:sz w:val="24"/>
                <w:szCs w:val="24"/>
                <w:lang w:val="en-CA" w:eastAsia="en-CA"/>
              </w:rPr>
            </w:pPr>
            <w:r w:rsidRPr="00981466">
              <w:rPr>
                <w:color w:val="000000"/>
                <w:sz w:val="24"/>
                <w:szCs w:val="24"/>
                <w:lang w:val="en-CA" w:eastAsia="en-CA"/>
              </w:rPr>
              <w:t>Net Amount of FC after Applicable haircut</w:t>
            </w:r>
          </w:p>
        </w:tc>
        <w:tc>
          <w:tcPr>
            <w:tcW w:w="1710" w:type="dxa"/>
            <w:tcBorders>
              <w:top w:val="single" w:sz="4" w:space="0" w:color="auto"/>
              <w:left w:val="nil"/>
              <w:bottom w:val="single" w:sz="4" w:space="0" w:color="auto"/>
              <w:right w:val="single" w:sz="4" w:space="0" w:color="auto"/>
            </w:tcBorders>
            <w:shd w:val="clear" w:color="auto" w:fill="auto"/>
            <w:hideMark/>
          </w:tcPr>
          <w:p w14:paraId="120E62F0" w14:textId="77777777" w:rsidR="004C1CA7" w:rsidRPr="00981466" w:rsidRDefault="004C1CA7" w:rsidP="00040726">
            <w:pPr>
              <w:overflowPunct/>
              <w:autoSpaceDE/>
              <w:autoSpaceDN/>
              <w:adjustRightInd/>
              <w:jc w:val="center"/>
              <w:textAlignment w:val="auto"/>
              <w:rPr>
                <w:color w:val="000000"/>
                <w:sz w:val="24"/>
                <w:szCs w:val="24"/>
                <w:lang w:val="en-CA" w:eastAsia="en-CA"/>
              </w:rPr>
            </w:pPr>
            <w:r w:rsidRPr="00981466">
              <w:rPr>
                <w:color w:val="000000"/>
                <w:sz w:val="24"/>
                <w:szCs w:val="24"/>
                <w:lang w:val="en-CA" w:eastAsia="en-CA"/>
              </w:rPr>
              <w:t>Capital relief availed on account of FC</w:t>
            </w:r>
          </w:p>
        </w:tc>
      </w:tr>
      <w:tr w:rsidR="004C1CA7" w:rsidRPr="00981466" w14:paraId="0A1D7A53" w14:textId="77777777" w:rsidTr="00040726">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FB7B3CB" w14:textId="77777777" w:rsidR="004C1CA7" w:rsidRPr="00981466" w:rsidRDefault="004C1CA7" w:rsidP="00040726">
            <w:pPr>
              <w:overflowPunct/>
              <w:autoSpaceDE/>
              <w:autoSpaceDN/>
              <w:adjustRightInd/>
              <w:jc w:val="both"/>
              <w:textAlignment w:val="auto"/>
              <w:rPr>
                <w:color w:val="000000"/>
                <w:sz w:val="24"/>
                <w:szCs w:val="24"/>
                <w:lang w:val="en-CA" w:eastAsia="en-CA"/>
              </w:rPr>
            </w:pPr>
            <w:r w:rsidRPr="00981466">
              <w:rPr>
                <w:color w:val="000000"/>
                <w:sz w:val="24"/>
                <w:szCs w:val="24"/>
                <w:lang w:val="en-CA" w:eastAsia="en-CA"/>
              </w:rPr>
              <w:t>Loans</w:t>
            </w:r>
          </w:p>
        </w:tc>
        <w:tc>
          <w:tcPr>
            <w:tcW w:w="1350" w:type="dxa"/>
            <w:tcBorders>
              <w:top w:val="nil"/>
              <w:left w:val="nil"/>
              <w:bottom w:val="single" w:sz="4" w:space="0" w:color="auto"/>
              <w:right w:val="single" w:sz="4" w:space="0" w:color="auto"/>
            </w:tcBorders>
            <w:shd w:val="clear" w:color="auto" w:fill="auto"/>
            <w:noWrap/>
            <w:vAlign w:val="bottom"/>
          </w:tcPr>
          <w:p w14:paraId="65793282" w14:textId="65E00CC5" w:rsidR="004C1CA7" w:rsidRPr="0043115A" w:rsidRDefault="004C1CA7" w:rsidP="00040726">
            <w:pPr>
              <w:overflowPunct/>
              <w:autoSpaceDE/>
              <w:autoSpaceDN/>
              <w:adjustRightInd/>
              <w:jc w:val="right"/>
              <w:textAlignment w:val="auto"/>
              <w:rPr>
                <w:color w:val="000000"/>
                <w:sz w:val="24"/>
                <w:szCs w:val="24"/>
                <w:lang w:val="en-CA" w:eastAsia="en-CA"/>
              </w:rPr>
            </w:pPr>
            <w:r>
              <w:rPr>
                <w:color w:val="000000"/>
                <w:sz w:val="24"/>
                <w:szCs w:val="22"/>
                <w:lang w:val="en-CA" w:eastAsia="en-CA"/>
              </w:rPr>
              <w:t>7,309,24</w:t>
            </w:r>
            <w:r w:rsidR="00820C7A">
              <w:rPr>
                <w:color w:val="000000"/>
                <w:sz w:val="24"/>
                <w:szCs w:val="22"/>
                <w:lang w:val="en-CA" w:eastAsia="en-CA"/>
              </w:rPr>
              <w:t>0</w:t>
            </w:r>
          </w:p>
        </w:tc>
        <w:tc>
          <w:tcPr>
            <w:tcW w:w="1350" w:type="dxa"/>
            <w:tcBorders>
              <w:top w:val="nil"/>
              <w:left w:val="nil"/>
              <w:bottom w:val="single" w:sz="4" w:space="0" w:color="auto"/>
              <w:right w:val="single" w:sz="4" w:space="0" w:color="auto"/>
            </w:tcBorders>
            <w:shd w:val="clear" w:color="auto" w:fill="auto"/>
            <w:noWrap/>
            <w:vAlign w:val="bottom"/>
          </w:tcPr>
          <w:p w14:paraId="7593952B" w14:textId="77777777" w:rsidR="004C1CA7" w:rsidRPr="0043115A" w:rsidRDefault="004C1CA7" w:rsidP="00040726">
            <w:pPr>
              <w:overflowPunct/>
              <w:autoSpaceDE/>
              <w:autoSpaceDN/>
              <w:adjustRightInd/>
              <w:jc w:val="right"/>
              <w:textAlignment w:val="auto"/>
              <w:rPr>
                <w:color w:val="000000"/>
                <w:sz w:val="24"/>
                <w:szCs w:val="24"/>
                <w:lang w:val="en-CA" w:eastAsia="en-CA"/>
              </w:rPr>
            </w:pPr>
            <w:r>
              <w:rPr>
                <w:color w:val="000000"/>
                <w:sz w:val="24"/>
                <w:szCs w:val="22"/>
                <w:lang w:val="en-CA" w:eastAsia="en-CA"/>
              </w:rPr>
              <w:t>-</w:t>
            </w:r>
          </w:p>
        </w:tc>
        <w:tc>
          <w:tcPr>
            <w:tcW w:w="1530" w:type="dxa"/>
            <w:tcBorders>
              <w:top w:val="nil"/>
              <w:left w:val="nil"/>
              <w:bottom w:val="single" w:sz="4" w:space="0" w:color="auto"/>
              <w:right w:val="single" w:sz="4" w:space="0" w:color="auto"/>
            </w:tcBorders>
            <w:shd w:val="clear" w:color="auto" w:fill="auto"/>
            <w:noWrap/>
            <w:vAlign w:val="bottom"/>
          </w:tcPr>
          <w:p w14:paraId="39CE7AB2" w14:textId="77777777" w:rsidR="004C1CA7" w:rsidRPr="0043115A" w:rsidRDefault="004C1CA7" w:rsidP="00040726">
            <w:pPr>
              <w:overflowPunct/>
              <w:autoSpaceDE/>
              <w:autoSpaceDN/>
              <w:adjustRightInd/>
              <w:jc w:val="right"/>
              <w:textAlignment w:val="auto"/>
              <w:rPr>
                <w:color w:val="000000"/>
                <w:sz w:val="24"/>
                <w:szCs w:val="24"/>
                <w:lang w:val="en-CA" w:eastAsia="en-CA"/>
              </w:rPr>
            </w:pPr>
            <w:r>
              <w:rPr>
                <w:color w:val="000000"/>
                <w:sz w:val="24"/>
                <w:szCs w:val="22"/>
                <w:lang w:val="en-CA" w:eastAsia="en-CA"/>
              </w:rPr>
              <w:t>-</w:t>
            </w:r>
          </w:p>
        </w:tc>
        <w:tc>
          <w:tcPr>
            <w:tcW w:w="1530" w:type="dxa"/>
            <w:tcBorders>
              <w:top w:val="nil"/>
              <w:left w:val="nil"/>
              <w:bottom w:val="single" w:sz="4" w:space="0" w:color="auto"/>
              <w:right w:val="single" w:sz="4" w:space="0" w:color="auto"/>
            </w:tcBorders>
            <w:shd w:val="clear" w:color="auto" w:fill="auto"/>
            <w:noWrap/>
            <w:vAlign w:val="bottom"/>
          </w:tcPr>
          <w:p w14:paraId="4145E40B" w14:textId="77777777" w:rsidR="004C1CA7" w:rsidRPr="0043115A" w:rsidRDefault="004C1CA7" w:rsidP="00040726">
            <w:pPr>
              <w:overflowPunct/>
              <w:autoSpaceDE/>
              <w:autoSpaceDN/>
              <w:adjustRightInd/>
              <w:jc w:val="right"/>
              <w:textAlignment w:val="auto"/>
              <w:rPr>
                <w:color w:val="000000"/>
                <w:sz w:val="24"/>
                <w:szCs w:val="24"/>
                <w:lang w:val="en-CA" w:eastAsia="en-CA"/>
              </w:rPr>
            </w:pPr>
            <w:r>
              <w:rPr>
                <w:color w:val="000000"/>
                <w:sz w:val="24"/>
                <w:szCs w:val="22"/>
                <w:lang w:val="en-CA" w:eastAsia="en-CA"/>
              </w:rPr>
              <w:t>-</w:t>
            </w:r>
          </w:p>
        </w:tc>
        <w:tc>
          <w:tcPr>
            <w:tcW w:w="1710" w:type="dxa"/>
            <w:tcBorders>
              <w:top w:val="nil"/>
              <w:left w:val="nil"/>
              <w:bottom w:val="single" w:sz="4" w:space="0" w:color="auto"/>
              <w:right w:val="single" w:sz="4" w:space="0" w:color="auto"/>
            </w:tcBorders>
            <w:shd w:val="clear" w:color="auto" w:fill="auto"/>
            <w:noWrap/>
            <w:vAlign w:val="bottom"/>
          </w:tcPr>
          <w:p w14:paraId="314A4A9F" w14:textId="77777777" w:rsidR="004C1CA7" w:rsidRPr="0043115A" w:rsidRDefault="004C1CA7" w:rsidP="00040726">
            <w:pPr>
              <w:overflowPunct/>
              <w:autoSpaceDE/>
              <w:autoSpaceDN/>
              <w:adjustRightInd/>
              <w:jc w:val="right"/>
              <w:textAlignment w:val="auto"/>
              <w:rPr>
                <w:color w:val="000000"/>
                <w:sz w:val="24"/>
                <w:szCs w:val="24"/>
                <w:lang w:val="en-CA" w:eastAsia="en-CA"/>
              </w:rPr>
            </w:pPr>
            <w:r>
              <w:rPr>
                <w:color w:val="000000"/>
                <w:sz w:val="24"/>
                <w:szCs w:val="22"/>
                <w:lang w:val="en-CA" w:eastAsia="en-CA"/>
              </w:rPr>
              <w:t>-</w:t>
            </w:r>
          </w:p>
        </w:tc>
      </w:tr>
      <w:tr w:rsidR="004C1CA7" w:rsidRPr="00981466" w14:paraId="7F49A4E0" w14:textId="77777777" w:rsidTr="00040726">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7EA7D59" w14:textId="77777777" w:rsidR="004C1CA7" w:rsidRPr="00981466" w:rsidRDefault="004C1CA7" w:rsidP="00040726">
            <w:pPr>
              <w:overflowPunct/>
              <w:autoSpaceDE/>
              <w:autoSpaceDN/>
              <w:adjustRightInd/>
              <w:jc w:val="both"/>
              <w:textAlignment w:val="auto"/>
              <w:rPr>
                <w:color w:val="000000"/>
                <w:sz w:val="24"/>
                <w:szCs w:val="24"/>
                <w:lang w:val="en-CA" w:eastAsia="en-CA"/>
              </w:rPr>
            </w:pPr>
            <w:r w:rsidRPr="00981466">
              <w:rPr>
                <w:color w:val="000000"/>
                <w:sz w:val="24"/>
                <w:szCs w:val="24"/>
                <w:lang w:val="en-CA" w:eastAsia="en-CA"/>
              </w:rPr>
              <w:t>Letter of credit</w:t>
            </w:r>
          </w:p>
        </w:tc>
        <w:tc>
          <w:tcPr>
            <w:tcW w:w="1350" w:type="dxa"/>
            <w:tcBorders>
              <w:top w:val="nil"/>
              <w:left w:val="nil"/>
              <w:bottom w:val="single" w:sz="4" w:space="0" w:color="auto"/>
              <w:right w:val="single" w:sz="4" w:space="0" w:color="auto"/>
            </w:tcBorders>
            <w:shd w:val="clear" w:color="auto" w:fill="auto"/>
            <w:noWrap/>
            <w:vAlign w:val="bottom"/>
          </w:tcPr>
          <w:p w14:paraId="69D785D6" w14:textId="77777777" w:rsidR="004C1CA7" w:rsidRPr="0043115A" w:rsidRDefault="004C1CA7" w:rsidP="00040726">
            <w:pPr>
              <w:overflowPunct/>
              <w:autoSpaceDE/>
              <w:autoSpaceDN/>
              <w:adjustRightInd/>
              <w:jc w:val="right"/>
              <w:textAlignment w:val="auto"/>
              <w:rPr>
                <w:color w:val="000000"/>
                <w:sz w:val="24"/>
                <w:szCs w:val="24"/>
                <w:lang w:val="en-CA" w:eastAsia="en-CA"/>
              </w:rPr>
            </w:pPr>
            <w:r>
              <w:rPr>
                <w:color w:val="000000"/>
                <w:sz w:val="24"/>
                <w:szCs w:val="22"/>
                <w:lang w:val="en-CA" w:eastAsia="en-CA"/>
              </w:rPr>
              <w:t>377,743</w:t>
            </w:r>
          </w:p>
        </w:tc>
        <w:tc>
          <w:tcPr>
            <w:tcW w:w="1350" w:type="dxa"/>
            <w:tcBorders>
              <w:top w:val="nil"/>
              <w:left w:val="nil"/>
              <w:bottom w:val="single" w:sz="4" w:space="0" w:color="auto"/>
              <w:right w:val="single" w:sz="4" w:space="0" w:color="auto"/>
            </w:tcBorders>
            <w:shd w:val="clear" w:color="auto" w:fill="auto"/>
            <w:noWrap/>
            <w:vAlign w:val="bottom"/>
            <w:hideMark/>
          </w:tcPr>
          <w:p w14:paraId="0C366007" w14:textId="77777777" w:rsidR="004C1CA7" w:rsidRPr="0043115A" w:rsidRDefault="004C1CA7" w:rsidP="00040726">
            <w:pPr>
              <w:overflowPunct/>
              <w:autoSpaceDE/>
              <w:autoSpaceDN/>
              <w:adjustRightInd/>
              <w:jc w:val="right"/>
              <w:textAlignment w:val="auto"/>
              <w:rPr>
                <w:color w:val="000000"/>
                <w:sz w:val="24"/>
                <w:szCs w:val="24"/>
                <w:lang w:val="en-CA" w:eastAsia="en-CA"/>
              </w:rPr>
            </w:pPr>
            <w:r w:rsidRPr="0043115A">
              <w:rPr>
                <w:color w:val="000000"/>
                <w:sz w:val="24"/>
                <w:szCs w:val="22"/>
                <w:lang w:val="en-CA" w:eastAsia="en-CA"/>
              </w:rPr>
              <w:t xml:space="preserve">                    -   </w:t>
            </w:r>
          </w:p>
        </w:tc>
        <w:tc>
          <w:tcPr>
            <w:tcW w:w="1530" w:type="dxa"/>
            <w:tcBorders>
              <w:top w:val="nil"/>
              <w:left w:val="nil"/>
              <w:bottom w:val="single" w:sz="4" w:space="0" w:color="auto"/>
              <w:right w:val="single" w:sz="4" w:space="0" w:color="auto"/>
            </w:tcBorders>
            <w:shd w:val="clear" w:color="auto" w:fill="auto"/>
            <w:noWrap/>
            <w:vAlign w:val="bottom"/>
            <w:hideMark/>
          </w:tcPr>
          <w:p w14:paraId="1D0E94A2" w14:textId="77777777" w:rsidR="004C1CA7" w:rsidRPr="0043115A" w:rsidRDefault="004C1CA7" w:rsidP="00040726">
            <w:pPr>
              <w:overflowPunct/>
              <w:autoSpaceDE/>
              <w:autoSpaceDN/>
              <w:adjustRightInd/>
              <w:jc w:val="right"/>
              <w:textAlignment w:val="auto"/>
              <w:rPr>
                <w:color w:val="000000"/>
                <w:sz w:val="24"/>
                <w:szCs w:val="24"/>
                <w:lang w:val="en-CA" w:eastAsia="en-CA"/>
              </w:rPr>
            </w:pPr>
            <w:r w:rsidRPr="0043115A">
              <w:rPr>
                <w:color w:val="000000"/>
                <w:sz w:val="24"/>
                <w:szCs w:val="22"/>
                <w:lang w:val="en-CA" w:eastAsia="en-CA"/>
              </w:rPr>
              <w:t xml:space="preserve">                     -   </w:t>
            </w:r>
          </w:p>
        </w:tc>
        <w:tc>
          <w:tcPr>
            <w:tcW w:w="1530" w:type="dxa"/>
            <w:tcBorders>
              <w:top w:val="nil"/>
              <w:left w:val="nil"/>
              <w:bottom w:val="single" w:sz="4" w:space="0" w:color="auto"/>
              <w:right w:val="single" w:sz="4" w:space="0" w:color="auto"/>
            </w:tcBorders>
            <w:shd w:val="clear" w:color="auto" w:fill="auto"/>
            <w:noWrap/>
            <w:vAlign w:val="bottom"/>
            <w:hideMark/>
          </w:tcPr>
          <w:p w14:paraId="5368C525" w14:textId="77777777" w:rsidR="004C1CA7" w:rsidRPr="0043115A" w:rsidRDefault="004C1CA7" w:rsidP="00040726">
            <w:pPr>
              <w:overflowPunct/>
              <w:autoSpaceDE/>
              <w:autoSpaceDN/>
              <w:adjustRightInd/>
              <w:jc w:val="right"/>
              <w:textAlignment w:val="auto"/>
              <w:rPr>
                <w:color w:val="000000"/>
                <w:sz w:val="24"/>
                <w:szCs w:val="24"/>
                <w:lang w:val="en-CA" w:eastAsia="en-CA"/>
              </w:rPr>
            </w:pPr>
            <w:r w:rsidRPr="0043115A">
              <w:rPr>
                <w:color w:val="000000"/>
                <w:sz w:val="24"/>
                <w:szCs w:val="22"/>
                <w:lang w:val="en-CA" w:eastAsia="en-CA"/>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14:paraId="7560026A" w14:textId="77777777" w:rsidR="004C1CA7" w:rsidRPr="0043115A" w:rsidRDefault="004C1CA7" w:rsidP="00040726">
            <w:pPr>
              <w:overflowPunct/>
              <w:autoSpaceDE/>
              <w:autoSpaceDN/>
              <w:adjustRightInd/>
              <w:jc w:val="right"/>
              <w:textAlignment w:val="auto"/>
              <w:rPr>
                <w:color w:val="000000"/>
                <w:sz w:val="24"/>
                <w:szCs w:val="24"/>
                <w:lang w:val="en-CA" w:eastAsia="en-CA"/>
              </w:rPr>
            </w:pPr>
            <w:r w:rsidRPr="0043115A">
              <w:rPr>
                <w:color w:val="000000"/>
                <w:sz w:val="24"/>
                <w:szCs w:val="22"/>
                <w:lang w:val="en-CA" w:eastAsia="en-CA"/>
              </w:rPr>
              <w:t xml:space="preserve">                                 -   </w:t>
            </w:r>
          </w:p>
        </w:tc>
      </w:tr>
      <w:tr w:rsidR="004C1CA7" w:rsidRPr="00981466" w14:paraId="2FB25F9F" w14:textId="77777777" w:rsidTr="00040726">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74715B1" w14:textId="77777777" w:rsidR="004C1CA7" w:rsidRPr="00981466" w:rsidRDefault="004C1CA7" w:rsidP="00040726">
            <w:pPr>
              <w:overflowPunct/>
              <w:autoSpaceDE/>
              <w:autoSpaceDN/>
              <w:adjustRightInd/>
              <w:jc w:val="both"/>
              <w:textAlignment w:val="auto"/>
              <w:rPr>
                <w:color w:val="000000"/>
                <w:sz w:val="24"/>
                <w:szCs w:val="24"/>
                <w:lang w:val="en-CA" w:eastAsia="en-CA"/>
              </w:rPr>
            </w:pPr>
            <w:r w:rsidRPr="00981466">
              <w:rPr>
                <w:color w:val="000000"/>
                <w:sz w:val="24"/>
                <w:szCs w:val="24"/>
                <w:lang w:val="en-CA" w:eastAsia="en-CA"/>
              </w:rPr>
              <w:t>Guarantees and Bonds</w:t>
            </w:r>
          </w:p>
        </w:tc>
        <w:tc>
          <w:tcPr>
            <w:tcW w:w="1350" w:type="dxa"/>
            <w:tcBorders>
              <w:top w:val="nil"/>
              <w:left w:val="nil"/>
              <w:bottom w:val="single" w:sz="4" w:space="0" w:color="auto"/>
              <w:right w:val="single" w:sz="4" w:space="0" w:color="auto"/>
            </w:tcBorders>
            <w:shd w:val="clear" w:color="auto" w:fill="auto"/>
            <w:noWrap/>
            <w:vAlign w:val="bottom"/>
          </w:tcPr>
          <w:p w14:paraId="0D180BEF" w14:textId="77777777" w:rsidR="004C1CA7" w:rsidRPr="0043115A" w:rsidRDefault="004C1CA7" w:rsidP="00040726">
            <w:pPr>
              <w:overflowPunct/>
              <w:autoSpaceDE/>
              <w:autoSpaceDN/>
              <w:adjustRightInd/>
              <w:jc w:val="right"/>
              <w:textAlignment w:val="auto"/>
              <w:rPr>
                <w:color w:val="000000"/>
                <w:sz w:val="24"/>
                <w:szCs w:val="24"/>
                <w:lang w:val="en-CA" w:eastAsia="en-CA"/>
              </w:rPr>
            </w:pPr>
            <w:r>
              <w:rPr>
                <w:color w:val="000000"/>
                <w:sz w:val="24"/>
                <w:szCs w:val="22"/>
                <w:lang w:val="en-CA" w:eastAsia="en-CA"/>
              </w:rPr>
              <w:t>14,840,147</w:t>
            </w:r>
          </w:p>
        </w:tc>
        <w:tc>
          <w:tcPr>
            <w:tcW w:w="1350" w:type="dxa"/>
            <w:tcBorders>
              <w:top w:val="nil"/>
              <w:left w:val="nil"/>
              <w:bottom w:val="single" w:sz="4" w:space="0" w:color="auto"/>
              <w:right w:val="single" w:sz="4" w:space="0" w:color="auto"/>
            </w:tcBorders>
            <w:shd w:val="clear" w:color="auto" w:fill="auto"/>
            <w:noWrap/>
            <w:vAlign w:val="bottom"/>
            <w:hideMark/>
          </w:tcPr>
          <w:p w14:paraId="6E8E8120" w14:textId="77777777" w:rsidR="004C1CA7" w:rsidRPr="0043115A" w:rsidRDefault="004C1CA7" w:rsidP="00040726">
            <w:pPr>
              <w:overflowPunct/>
              <w:autoSpaceDE/>
              <w:autoSpaceDN/>
              <w:adjustRightInd/>
              <w:jc w:val="right"/>
              <w:textAlignment w:val="auto"/>
              <w:rPr>
                <w:color w:val="000000"/>
                <w:sz w:val="24"/>
                <w:szCs w:val="24"/>
                <w:lang w:val="en-CA" w:eastAsia="en-CA"/>
              </w:rPr>
            </w:pPr>
            <w:r w:rsidRPr="0043115A">
              <w:rPr>
                <w:color w:val="000000"/>
                <w:sz w:val="24"/>
                <w:szCs w:val="22"/>
                <w:lang w:val="en-CA" w:eastAsia="en-CA"/>
              </w:rPr>
              <w:t xml:space="preserve">                    -   </w:t>
            </w:r>
          </w:p>
        </w:tc>
        <w:tc>
          <w:tcPr>
            <w:tcW w:w="1530" w:type="dxa"/>
            <w:tcBorders>
              <w:top w:val="nil"/>
              <w:left w:val="nil"/>
              <w:bottom w:val="single" w:sz="4" w:space="0" w:color="auto"/>
              <w:right w:val="single" w:sz="4" w:space="0" w:color="auto"/>
            </w:tcBorders>
            <w:shd w:val="clear" w:color="auto" w:fill="auto"/>
            <w:noWrap/>
            <w:vAlign w:val="bottom"/>
            <w:hideMark/>
          </w:tcPr>
          <w:p w14:paraId="6BFC9665" w14:textId="77777777" w:rsidR="004C1CA7" w:rsidRPr="0043115A" w:rsidRDefault="004C1CA7" w:rsidP="00040726">
            <w:pPr>
              <w:overflowPunct/>
              <w:autoSpaceDE/>
              <w:autoSpaceDN/>
              <w:adjustRightInd/>
              <w:jc w:val="right"/>
              <w:textAlignment w:val="auto"/>
              <w:rPr>
                <w:color w:val="000000"/>
                <w:sz w:val="24"/>
                <w:szCs w:val="24"/>
                <w:lang w:val="en-CA" w:eastAsia="en-CA"/>
              </w:rPr>
            </w:pPr>
            <w:r w:rsidRPr="0043115A">
              <w:rPr>
                <w:color w:val="000000"/>
                <w:sz w:val="24"/>
                <w:szCs w:val="22"/>
                <w:lang w:val="en-CA" w:eastAsia="en-CA"/>
              </w:rPr>
              <w:t xml:space="preserve">                     -   </w:t>
            </w:r>
          </w:p>
        </w:tc>
        <w:tc>
          <w:tcPr>
            <w:tcW w:w="1530" w:type="dxa"/>
            <w:tcBorders>
              <w:top w:val="nil"/>
              <w:left w:val="nil"/>
              <w:bottom w:val="single" w:sz="4" w:space="0" w:color="auto"/>
              <w:right w:val="single" w:sz="4" w:space="0" w:color="auto"/>
            </w:tcBorders>
            <w:shd w:val="clear" w:color="auto" w:fill="auto"/>
            <w:noWrap/>
            <w:vAlign w:val="bottom"/>
            <w:hideMark/>
          </w:tcPr>
          <w:p w14:paraId="54227E93" w14:textId="77777777" w:rsidR="004C1CA7" w:rsidRPr="0043115A" w:rsidRDefault="004C1CA7" w:rsidP="00040726">
            <w:pPr>
              <w:overflowPunct/>
              <w:autoSpaceDE/>
              <w:autoSpaceDN/>
              <w:adjustRightInd/>
              <w:jc w:val="right"/>
              <w:textAlignment w:val="auto"/>
              <w:rPr>
                <w:color w:val="000000"/>
                <w:sz w:val="24"/>
                <w:szCs w:val="24"/>
                <w:lang w:val="en-CA" w:eastAsia="en-CA"/>
              </w:rPr>
            </w:pPr>
            <w:r w:rsidRPr="0043115A">
              <w:rPr>
                <w:color w:val="000000"/>
                <w:sz w:val="24"/>
                <w:szCs w:val="22"/>
                <w:lang w:val="en-CA" w:eastAsia="en-CA"/>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14:paraId="4A5EBE2B" w14:textId="77777777" w:rsidR="004C1CA7" w:rsidRPr="0043115A" w:rsidRDefault="004C1CA7" w:rsidP="00040726">
            <w:pPr>
              <w:overflowPunct/>
              <w:autoSpaceDE/>
              <w:autoSpaceDN/>
              <w:adjustRightInd/>
              <w:jc w:val="right"/>
              <w:textAlignment w:val="auto"/>
              <w:rPr>
                <w:color w:val="000000"/>
                <w:sz w:val="24"/>
                <w:szCs w:val="24"/>
                <w:lang w:val="en-CA" w:eastAsia="en-CA"/>
              </w:rPr>
            </w:pPr>
            <w:r w:rsidRPr="0043115A">
              <w:rPr>
                <w:color w:val="000000"/>
                <w:sz w:val="24"/>
                <w:szCs w:val="22"/>
                <w:lang w:val="en-CA" w:eastAsia="en-CA"/>
              </w:rPr>
              <w:t xml:space="preserve">                                 -   </w:t>
            </w:r>
          </w:p>
        </w:tc>
      </w:tr>
    </w:tbl>
    <w:p w14:paraId="690B3518" w14:textId="77777777" w:rsidR="004C1CA7" w:rsidRPr="00981466" w:rsidRDefault="004C1CA7" w:rsidP="004C1CA7">
      <w:pPr>
        <w:ind w:left="720"/>
        <w:jc w:val="both"/>
        <w:rPr>
          <w:sz w:val="24"/>
          <w:szCs w:val="24"/>
        </w:rPr>
      </w:pPr>
    </w:p>
    <w:p w14:paraId="6E00CDDB" w14:textId="77777777" w:rsidR="004C1CA7" w:rsidRPr="00981466" w:rsidRDefault="004C1CA7" w:rsidP="004C1CA7">
      <w:pPr>
        <w:tabs>
          <w:tab w:val="left" w:pos="1440"/>
        </w:tabs>
        <w:ind w:left="1440" w:hanging="720"/>
        <w:jc w:val="both"/>
        <w:rPr>
          <w:sz w:val="24"/>
          <w:szCs w:val="24"/>
        </w:rPr>
      </w:pPr>
      <w:r w:rsidRPr="00981466">
        <w:rPr>
          <w:sz w:val="24"/>
          <w:szCs w:val="24"/>
        </w:rPr>
        <w:t>(b)</w:t>
      </w:r>
      <w:r w:rsidRPr="00981466">
        <w:rPr>
          <w:sz w:val="24"/>
          <w:szCs w:val="24"/>
        </w:rPr>
        <w:tab/>
        <w:t xml:space="preserve">The bank has not availed benefit of on or off balance sheet netting / guarantees / credit derivatives (wherever specifically permitted by RBI) as credit risk mitigant.  </w:t>
      </w:r>
    </w:p>
    <w:p w14:paraId="2FE6393B" w14:textId="77777777" w:rsidR="004C1CA7" w:rsidRPr="00981466" w:rsidRDefault="004C1CA7" w:rsidP="004C1CA7">
      <w:pPr>
        <w:rPr>
          <w:b/>
          <w:sz w:val="24"/>
          <w:szCs w:val="24"/>
        </w:rPr>
      </w:pPr>
    </w:p>
    <w:p w14:paraId="2E2E4ADA" w14:textId="77777777" w:rsidR="004C1CA7" w:rsidRPr="00981466" w:rsidRDefault="004C1CA7" w:rsidP="004C1CA7">
      <w:pPr>
        <w:numPr>
          <w:ilvl w:val="0"/>
          <w:numId w:val="7"/>
        </w:numPr>
        <w:tabs>
          <w:tab w:val="clear" w:pos="1800"/>
          <w:tab w:val="num" w:pos="720"/>
        </w:tabs>
        <w:overflowPunct/>
        <w:autoSpaceDE/>
        <w:autoSpaceDN/>
        <w:adjustRightInd/>
        <w:ind w:left="720" w:hanging="720"/>
        <w:textAlignment w:val="auto"/>
        <w:rPr>
          <w:b/>
          <w:sz w:val="24"/>
          <w:szCs w:val="24"/>
        </w:rPr>
      </w:pPr>
      <w:r w:rsidRPr="00981466">
        <w:rPr>
          <w:b/>
          <w:sz w:val="24"/>
          <w:szCs w:val="24"/>
        </w:rPr>
        <w:t>DF-6: Securitisation - Disclosure for Standardised Approach</w:t>
      </w:r>
    </w:p>
    <w:p w14:paraId="40FA4C6F" w14:textId="77777777" w:rsidR="004C1CA7" w:rsidRPr="00981466" w:rsidRDefault="004C1CA7" w:rsidP="004C1CA7">
      <w:pPr>
        <w:ind w:left="720"/>
        <w:rPr>
          <w:sz w:val="24"/>
          <w:szCs w:val="24"/>
        </w:rPr>
      </w:pPr>
      <w:r w:rsidRPr="00981466">
        <w:rPr>
          <w:sz w:val="24"/>
          <w:szCs w:val="24"/>
        </w:rPr>
        <w:t>The Bank does not have any securitization exposure.</w:t>
      </w:r>
    </w:p>
    <w:p w14:paraId="5D5323DA" w14:textId="77777777" w:rsidR="004C1CA7" w:rsidRPr="00981466" w:rsidRDefault="004C1CA7" w:rsidP="004C1CA7">
      <w:pPr>
        <w:overflowPunct/>
        <w:autoSpaceDE/>
        <w:autoSpaceDN/>
        <w:adjustRightInd/>
        <w:textAlignment w:val="auto"/>
        <w:rPr>
          <w:b/>
          <w:sz w:val="24"/>
          <w:szCs w:val="24"/>
        </w:rPr>
      </w:pPr>
    </w:p>
    <w:p w14:paraId="599340C1" w14:textId="77777777" w:rsidR="004C1CA7" w:rsidRPr="00981466" w:rsidRDefault="004C1CA7" w:rsidP="004C1CA7">
      <w:pPr>
        <w:numPr>
          <w:ilvl w:val="0"/>
          <w:numId w:val="7"/>
        </w:numPr>
        <w:tabs>
          <w:tab w:val="clear" w:pos="1800"/>
          <w:tab w:val="num" w:pos="720"/>
        </w:tabs>
        <w:overflowPunct/>
        <w:autoSpaceDE/>
        <w:autoSpaceDN/>
        <w:adjustRightInd/>
        <w:ind w:left="720" w:hanging="720"/>
        <w:textAlignment w:val="auto"/>
        <w:rPr>
          <w:b/>
          <w:sz w:val="24"/>
          <w:szCs w:val="24"/>
        </w:rPr>
      </w:pPr>
      <w:r w:rsidRPr="00981466">
        <w:rPr>
          <w:b/>
          <w:sz w:val="24"/>
          <w:szCs w:val="24"/>
        </w:rPr>
        <w:t>DF-7: Market Risk in Trading Book</w:t>
      </w:r>
    </w:p>
    <w:p w14:paraId="01280ECC" w14:textId="77777777" w:rsidR="004C1CA7" w:rsidRPr="00981466" w:rsidRDefault="004C1CA7" w:rsidP="004C1CA7">
      <w:pPr>
        <w:ind w:left="720"/>
        <w:rPr>
          <w:b/>
          <w:sz w:val="24"/>
          <w:szCs w:val="24"/>
        </w:rPr>
      </w:pPr>
      <w:r w:rsidRPr="00981466">
        <w:rPr>
          <w:b/>
          <w:sz w:val="24"/>
          <w:szCs w:val="24"/>
        </w:rPr>
        <w:t>Qualitative Disclosures</w:t>
      </w:r>
    </w:p>
    <w:p w14:paraId="78CC640D" w14:textId="77777777" w:rsidR="004C1CA7" w:rsidRPr="00981466" w:rsidRDefault="004C1CA7" w:rsidP="004C1CA7">
      <w:pPr>
        <w:ind w:left="720"/>
        <w:jc w:val="both"/>
        <w:rPr>
          <w:sz w:val="24"/>
          <w:szCs w:val="24"/>
        </w:rPr>
      </w:pPr>
      <w:r w:rsidRPr="00981466">
        <w:rPr>
          <w:sz w:val="24"/>
          <w:szCs w:val="24"/>
        </w:rPr>
        <w:t>Market risk is the risk of loss from changes in market prices and rates (including interest rates, credit spreads, equity prices, foreign exchange rates and commodity prices), the correlations among them, and their levels of volatility.</w:t>
      </w:r>
    </w:p>
    <w:p w14:paraId="54272C8D" w14:textId="77777777" w:rsidR="004C1CA7" w:rsidRPr="004B4AE3" w:rsidRDefault="004C1CA7" w:rsidP="004C1CA7">
      <w:pPr>
        <w:ind w:left="720"/>
        <w:jc w:val="both"/>
        <w:rPr>
          <w:color w:val="FF0000"/>
          <w:sz w:val="24"/>
          <w:szCs w:val="24"/>
        </w:rPr>
      </w:pPr>
    </w:p>
    <w:p w14:paraId="7DE4FCE7" w14:textId="77777777" w:rsidR="004C1CA7" w:rsidRPr="00791E88" w:rsidRDefault="004C1CA7" w:rsidP="004C1CA7">
      <w:pPr>
        <w:ind w:left="720"/>
        <w:jc w:val="both"/>
        <w:rPr>
          <w:sz w:val="24"/>
          <w:szCs w:val="24"/>
        </w:rPr>
      </w:pPr>
      <w:r w:rsidRPr="00E00470">
        <w:rPr>
          <w:sz w:val="24"/>
          <w:szCs w:val="24"/>
        </w:rPr>
        <w:t>Globally, the Board of Directors (“The Board”) at Head Office, Canada reviews and approves</w:t>
      </w:r>
      <w:r w:rsidRPr="00791E88">
        <w:rPr>
          <w:sz w:val="24"/>
          <w:szCs w:val="24"/>
        </w:rPr>
        <w:t xml:space="preserve"> the Risk Appetite Framework and establishes the market risk appetite of the overall Bank annually. The Board delegates authority for overall market risk management and monitoring compliance with the </w:t>
      </w:r>
      <w:proofErr w:type="spellStart"/>
      <w:r>
        <w:rPr>
          <w:sz w:val="24"/>
          <w:szCs w:val="24"/>
        </w:rPr>
        <w:t>V</w:t>
      </w:r>
      <w:r w:rsidRPr="00791E88">
        <w:rPr>
          <w:sz w:val="24"/>
          <w:szCs w:val="24"/>
        </w:rPr>
        <w:t>aR</w:t>
      </w:r>
      <w:proofErr w:type="spellEnd"/>
      <w:r w:rsidRPr="00791E88">
        <w:rPr>
          <w:sz w:val="24"/>
          <w:szCs w:val="24"/>
        </w:rPr>
        <w:t xml:space="preserve"> and stress testing limits to the President and CEO who, in turn delegates it to the Market Risk Management and Policy Committee (“MRMPC”). As part of this delegation, the MRMPC is expected to ensure that the Bank’s market risk management and control framework is operating effectively. This includes further allocation of limits, approval authorities, and delegation of risk monitoring and control responsibilities to Global Risk Management, Back Office units and senior management, as deemed appropriate. </w:t>
      </w:r>
    </w:p>
    <w:p w14:paraId="54C72865" w14:textId="77777777" w:rsidR="004C1CA7" w:rsidRPr="00791E88" w:rsidRDefault="004C1CA7" w:rsidP="004C1CA7">
      <w:pPr>
        <w:ind w:left="720"/>
        <w:jc w:val="both"/>
        <w:rPr>
          <w:sz w:val="24"/>
          <w:szCs w:val="24"/>
        </w:rPr>
      </w:pPr>
    </w:p>
    <w:p w14:paraId="77659BE8" w14:textId="77777777" w:rsidR="004C1CA7" w:rsidRPr="00791E88" w:rsidRDefault="004C1CA7" w:rsidP="004C1CA7">
      <w:pPr>
        <w:ind w:left="720"/>
        <w:jc w:val="both"/>
        <w:rPr>
          <w:sz w:val="24"/>
          <w:szCs w:val="24"/>
        </w:rPr>
      </w:pPr>
      <w:r w:rsidRPr="00791E88">
        <w:rPr>
          <w:sz w:val="24"/>
          <w:szCs w:val="24"/>
        </w:rPr>
        <w:t>India Management Committee (“MANCOM”) reviews and approves the India Risk Appetite Framework and provides overarching governance and oversight locally. The Bank’s Asset Liability Committee (“ALCO”)</w:t>
      </w:r>
      <w:r>
        <w:rPr>
          <w:sz w:val="24"/>
          <w:szCs w:val="24"/>
        </w:rPr>
        <w:t xml:space="preserve"> </w:t>
      </w:r>
      <w:r w:rsidRPr="00791E88">
        <w:rPr>
          <w:sz w:val="24"/>
          <w:szCs w:val="24"/>
        </w:rPr>
        <w:t xml:space="preserve">in India oversee the application of the framework locally. </w:t>
      </w:r>
    </w:p>
    <w:p w14:paraId="101AFEBB" w14:textId="77777777" w:rsidR="004C1CA7" w:rsidRPr="00791E88" w:rsidRDefault="004C1CA7" w:rsidP="004C1CA7">
      <w:pPr>
        <w:ind w:left="720"/>
        <w:jc w:val="both"/>
        <w:rPr>
          <w:sz w:val="24"/>
          <w:szCs w:val="24"/>
        </w:rPr>
      </w:pPr>
    </w:p>
    <w:p w14:paraId="76AB11B0" w14:textId="77777777" w:rsidR="004C1CA7" w:rsidRPr="00981466" w:rsidRDefault="004C1CA7" w:rsidP="004C1CA7">
      <w:pPr>
        <w:ind w:left="720"/>
        <w:jc w:val="both"/>
        <w:rPr>
          <w:sz w:val="24"/>
          <w:szCs w:val="24"/>
        </w:rPr>
      </w:pPr>
      <w:r w:rsidRPr="00791E88">
        <w:rPr>
          <w:sz w:val="24"/>
          <w:szCs w:val="24"/>
        </w:rPr>
        <w:t>Market risk policies define the approach to the assessment, reporting, control and management of market risk. These policies are reflected in market risk limits. Market risk limits are set within the limits and policies established by the Board. The limit management policies and processes ensure that activities are conducted in a manner that is commensurate with the Bank’s risk appetite and safety and soundness standards. Limits are established to ensure the risk-taking activities remain within the bounds of the Bank’s risk appetite while allowing for normal and profitable business activity. Limits are reviewed annually.</w:t>
      </w:r>
    </w:p>
    <w:p w14:paraId="1BD29143" w14:textId="77777777" w:rsidR="004C1CA7" w:rsidRPr="004B4AE3" w:rsidRDefault="004C1CA7" w:rsidP="004C1CA7">
      <w:pPr>
        <w:ind w:left="720"/>
        <w:jc w:val="both"/>
        <w:rPr>
          <w:color w:val="FF0000"/>
          <w:sz w:val="24"/>
          <w:szCs w:val="24"/>
        </w:rPr>
      </w:pPr>
    </w:p>
    <w:p w14:paraId="781B88C9" w14:textId="77777777" w:rsidR="004C1CA7" w:rsidRPr="00981466" w:rsidRDefault="004C1CA7" w:rsidP="004C1CA7">
      <w:pPr>
        <w:ind w:left="720"/>
        <w:jc w:val="both"/>
        <w:rPr>
          <w:sz w:val="24"/>
          <w:szCs w:val="24"/>
        </w:rPr>
      </w:pPr>
    </w:p>
    <w:p w14:paraId="535B71DE" w14:textId="77777777" w:rsidR="004C1CA7" w:rsidRDefault="004C1CA7" w:rsidP="004C1CA7">
      <w:pPr>
        <w:ind w:left="720"/>
        <w:jc w:val="both"/>
        <w:rPr>
          <w:sz w:val="24"/>
          <w:szCs w:val="24"/>
        </w:rPr>
      </w:pPr>
    </w:p>
    <w:p w14:paraId="762C2C62" w14:textId="7EF2712E" w:rsidR="004C1CA7" w:rsidRDefault="004C1CA7" w:rsidP="004C1CA7">
      <w:pPr>
        <w:ind w:left="720"/>
        <w:jc w:val="both"/>
        <w:rPr>
          <w:sz w:val="24"/>
          <w:szCs w:val="24"/>
        </w:rPr>
      </w:pPr>
      <w:r w:rsidRPr="00791E88">
        <w:rPr>
          <w:sz w:val="24"/>
          <w:szCs w:val="24"/>
        </w:rPr>
        <w:t xml:space="preserve">Global Risk Management (“GRM”) provides independent oversight for both Trading and Treasury (ALM) activities of the </w:t>
      </w:r>
      <w:r w:rsidR="00AC480B">
        <w:rPr>
          <w:sz w:val="24"/>
          <w:szCs w:val="24"/>
        </w:rPr>
        <w:t>B</w:t>
      </w:r>
      <w:r w:rsidR="00AC480B" w:rsidRPr="00791E88">
        <w:rPr>
          <w:sz w:val="24"/>
          <w:szCs w:val="24"/>
        </w:rPr>
        <w:t xml:space="preserve">ank </w:t>
      </w:r>
      <w:r w:rsidRPr="00791E88">
        <w:rPr>
          <w:sz w:val="24"/>
          <w:szCs w:val="24"/>
        </w:rPr>
        <w:t xml:space="preserve">and in ensuring all positions and their inherent key risks are properly identified, quantified, controlled, </w:t>
      </w:r>
      <w:proofErr w:type="gramStart"/>
      <w:r w:rsidRPr="00791E88">
        <w:rPr>
          <w:sz w:val="24"/>
          <w:szCs w:val="24"/>
        </w:rPr>
        <w:t>monitored</w:t>
      </w:r>
      <w:proofErr w:type="gramEnd"/>
      <w:r w:rsidRPr="00791E88">
        <w:rPr>
          <w:sz w:val="24"/>
          <w:szCs w:val="24"/>
        </w:rPr>
        <w:t xml:space="preserve"> and reported. GRM advises and support MRMPC and ALCO with analysis, risk measurement, monitoring, reporting, proposals for standards and support for new product development. The Bank uses metrics and models to measure and control market risk exposures. The measurements used are selected based on an assessment of the nature of risks in a particular activity. The principal measurement techniques are Value at Risk (</w:t>
      </w:r>
      <w:proofErr w:type="spellStart"/>
      <w:r w:rsidRPr="00791E88">
        <w:rPr>
          <w:sz w:val="24"/>
          <w:szCs w:val="24"/>
        </w:rPr>
        <w:t>VaR</w:t>
      </w:r>
      <w:proofErr w:type="spellEnd"/>
      <w:r w:rsidRPr="00791E88">
        <w:rPr>
          <w:sz w:val="24"/>
          <w:szCs w:val="24"/>
        </w:rPr>
        <w:t xml:space="preserve">) and Gap analysis. </w:t>
      </w:r>
      <w:r w:rsidR="00AC480B" w:rsidRPr="00791E88">
        <w:rPr>
          <w:sz w:val="24"/>
          <w:szCs w:val="24"/>
        </w:rPr>
        <w:t>All Limits are independently monitored on a continuing basis</w:t>
      </w:r>
      <w:r w:rsidR="00AC480B">
        <w:rPr>
          <w:sz w:val="24"/>
          <w:szCs w:val="24"/>
        </w:rPr>
        <w:t xml:space="preserve"> by monitoring unit as defined in limit documents.</w:t>
      </w:r>
    </w:p>
    <w:p w14:paraId="4CC69AC0" w14:textId="1C4CF001" w:rsidR="00AC480B" w:rsidRDefault="00AC480B" w:rsidP="004C1CA7">
      <w:pPr>
        <w:ind w:left="720"/>
        <w:jc w:val="both"/>
        <w:rPr>
          <w:sz w:val="24"/>
          <w:szCs w:val="24"/>
        </w:rPr>
      </w:pPr>
    </w:p>
    <w:p w14:paraId="4EA02A82" w14:textId="67EDAEE2" w:rsidR="00AC480B" w:rsidRDefault="00AC480B" w:rsidP="004C1CA7">
      <w:pPr>
        <w:ind w:left="720"/>
        <w:jc w:val="both"/>
        <w:rPr>
          <w:sz w:val="24"/>
          <w:szCs w:val="24"/>
        </w:rPr>
      </w:pPr>
      <w:r>
        <w:rPr>
          <w:sz w:val="24"/>
          <w:szCs w:val="24"/>
        </w:rPr>
        <w:t xml:space="preserve">Compliance to the limits are monitored by independent monitoring units as defined in the limit document on a periodic basis. </w:t>
      </w:r>
      <w:r>
        <w:rPr>
          <w:sz w:val="23"/>
          <w:szCs w:val="23"/>
        </w:rPr>
        <w:t>Overruns of limits are reviewed to establish the cause and are resolved in an effective and timely manner. All overruns are reported to MRMPC (Head Office) and locally to Risk Management Committee (“RMC”).</w:t>
      </w:r>
    </w:p>
    <w:p w14:paraId="17AFAA88" w14:textId="77777777" w:rsidR="004C1CA7" w:rsidRPr="00981466" w:rsidRDefault="004C1CA7" w:rsidP="004C1CA7">
      <w:pPr>
        <w:ind w:left="720"/>
        <w:jc w:val="both"/>
        <w:rPr>
          <w:sz w:val="24"/>
          <w:szCs w:val="24"/>
        </w:rPr>
      </w:pPr>
    </w:p>
    <w:tbl>
      <w:tblPr>
        <w:tblW w:w="0" w:type="auto"/>
        <w:tblInd w:w="918" w:type="dxa"/>
        <w:tblLook w:val="04A0" w:firstRow="1" w:lastRow="0" w:firstColumn="1" w:lastColumn="0" w:noHBand="0" w:noVBand="1"/>
      </w:tblPr>
      <w:tblGrid>
        <w:gridCol w:w="6933"/>
        <w:gridCol w:w="1869"/>
      </w:tblGrid>
      <w:tr w:rsidR="004C1CA7" w:rsidRPr="00981466" w14:paraId="09794ACC" w14:textId="77777777" w:rsidTr="00040726">
        <w:trPr>
          <w:trHeight w:val="300"/>
        </w:trPr>
        <w:tc>
          <w:tcPr>
            <w:tcW w:w="7020" w:type="dxa"/>
            <w:tcBorders>
              <w:top w:val="nil"/>
              <w:left w:val="nil"/>
              <w:bottom w:val="single" w:sz="4" w:space="0" w:color="auto"/>
              <w:right w:val="nil"/>
            </w:tcBorders>
            <w:shd w:val="clear" w:color="auto" w:fill="auto"/>
            <w:noWrap/>
            <w:vAlign w:val="bottom"/>
            <w:hideMark/>
          </w:tcPr>
          <w:p w14:paraId="721A06F5" w14:textId="77777777" w:rsidR="004C1CA7" w:rsidRDefault="004C1CA7" w:rsidP="00040726">
            <w:pPr>
              <w:overflowPunct/>
              <w:autoSpaceDE/>
              <w:autoSpaceDN/>
              <w:adjustRightInd/>
              <w:ind w:left="-198" w:firstLine="90"/>
              <w:textAlignment w:val="auto"/>
              <w:rPr>
                <w:b/>
                <w:sz w:val="24"/>
                <w:szCs w:val="24"/>
              </w:rPr>
            </w:pPr>
            <w:r w:rsidRPr="00981466">
              <w:rPr>
                <w:b/>
                <w:sz w:val="24"/>
                <w:szCs w:val="24"/>
              </w:rPr>
              <w:t>Quantitative disclosures</w:t>
            </w:r>
          </w:p>
          <w:p w14:paraId="6B89C703" w14:textId="77777777" w:rsidR="004C1CA7" w:rsidRPr="00981466" w:rsidRDefault="004C1CA7" w:rsidP="00040726">
            <w:pPr>
              <w:overflowPunct/>
              <w:autoSpaceDE/>
              <w:autoSpaceDN/>
              <w:adjustRightInd/>
              <w:ind w:left="-198" w:firstLine="90"/>
              <w:textAlignment w:val="auto"/>
              <w:rPr>
                <w:color w:val="000000"/>
                <w:sz w:val="24"/>
                <w:szCs w:val="24"/>
                <w:lang w:val="en-CA" w:eastAsia="en-CA"/>
              </w:rPr>
            </w:pPr>
            <w:r w:rsidRPr="00981466">
              <w:rPr>
                <w:sz w:val="24"/>
                <w:szCs w:val="24"/>
              </w:rPr>
              <w:t xml:space="preserve">The Capital Requirements for:               </w:t>
            </w:r>
          </w:p>
        </w:tc>
        <w:tc>
          <w:tcPr>
            <w:tcW w:w="1890" w:type="dxa"/>
            <w:tcBorders>
              <w:top w:val="nil"/>
              <w:left w:val="nil"/>
              <w:bottom w:val="single" w:sz="4" w:space="0" w:color="auto"/>
              <w:right w:val="nil"/>
            </w:tcBorders>
            <w:shd w:val="clear" w:color="auto" w:fill="auto"/>
            <w:noWrap/>
            <w:vAlign w:val="bottom"/>
          </w:tcPr>
          <w:p w14:paraId="1FA49F20" w14:textId="77777777" w:rsidR="004C1CA7" w:rsidRPr="00981466" w:rsidRDefault="004C1CA7" w:rsidP="00040726">
            <w:pPr>
              <w:overflowPunct/>
              <w:autoSpaceDE/>
              <w:autoSpaceDN/>
              <w:adjustRightInd/>
              <w:ind w:right="-558"/>
              <w:jc w:val="center"/>
              <w:textAlignment w:val="auto"/>
              <w:rPr>
                <w:iCs/>
                <w:color w:val="000000"/>
                <w:sz w:val="24"/>
                <w:szCs w:val="24"/>
                <w:lang w:val="en-CA" w:eastAsia="en-CA"/>
              </w:rPr>
            </w:pPr>
            <w:r w:rsidRPr="00981466">
              <w:rPr>
                <w:iCs/>
                <w:color w:val="000000"/>
                <w:sz w:val="24"/>
                <w:szCs w:val="24"/>
                <w:lang w:val="en-CA" w:eastAsia="en-CA"/>
              </w:rPr>
              <w:t xml:space="preserve"> (In Rs.000’s)</w:t>
            </w:r>
          </w:p>
        </w:tc>
      </w:tr>
      <w:tr w:rsidR="004C1CA7" w:rsidRPr="00981466" w14:paraId="73322DA0" w14:textId="77777777" w:rsidTr="00040726">
        <w:trPr>
          <w:trHeight w:val="300"/>
        </w:trPr>
        <w:tc>
          <w:tcPr>
            <w:tcW w:w="7020" w:type="dxa"/>
            <w:tcBorders>
              <w:top w:val="single" w:sz="4" w:space="0" w:color="auto"/>
              <w:left w:val="single" w:sz="4" w:space="0" w:color="auto"/>
              <w:bottom w:val="single" w:sz="4" w:space="0" w:color="auto"/>
              <w:right w:val="nil"/>
            </w:tcBorders>
            <w:shd w:val="clear" w:color="auto" w:fill="auto"/>
            <w:vAlign w:val="center"/>
            <w:hideMark/>
          </w:tcPr>
          <w:p w14:paraId="0D37221E" w14:textId="77777777" w:rsidR="004C1CA7" w:rsidRPr="00981466" w:rsidRDefault="004C1CA7" w:rsidP="00040726">
            <w:pPr>
              <w:overflowPunct/>
              <w:autoSpaceDE/>
              <w:autoSpaceDN/>
              <w:adjustRightInd/>
              <w:textAlignment w:val="auto"/>
              <w:rPr>
                <w:color w:val="000000"/>
                <w:sz w:val="24"/>
                <w:szCs w:val="24"/>
                <w:lang w:val="en-CA" w:eastAsia="en-CA"/>
              </w:rPr>
            </w:pPr>
            <w:r w:rsidRPr="00981466">
              <w:rPr>
                <w:color w:val="000000"/>
                <w:sz w:val="24"/>
                <w:szCs w:val="24"/>
                <w:lang w:eastAsia="en-CA"/>
              </w:rPr>
              <w:t>Interest Rate Risk</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4A09C" w14:textId="77777777" w:rsidR="004C1CA7" w:rsidRPr="00AF19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eastAsia="en-CA"/>
              </w:rPr>
              <w:t>65,927</w:t>
            </w:r>
          </w:p>
        </w:tc>
      </w:tr>
      <w:tr w:rsidR="004C1CA7" w:rsidRPr="00981466" w14:paraId="734B8E92" w14:textId="77777777" w:rsidTr="00040726">
        <w:trPr>
          <w:trHeight w:val="300"/>
        </w:trPr>
        <w:tc>
          <w:tcPr>
            <w:tcW w:w="7020" w:type="dxa"/>
            <w:tcBorders>
              <w:top w:val="single" w:sz="4" w:space="0" w:color="auto"/>
              <w:left w:val="single" w:sz="4" w:space="0" w:color="auto"/>
              <w:bottom w:val="single" w:sz="4" w:space="0" w:color="auto"/>
              <w:right w:val="nil"/>
            </w:tcBorders>
            <w:shd w:val="clear" w:color="auto" w:fill="auto"/>
            <w:vAlign w:val="center"/>
            <w:hideMark/>
          </w:tcPr>
          <w:p w14:paraId="670D52BA" w14:textId="77777777" w:rsidR="004C1CA7" w:rsidRPr="00981466" w:rsidRDefault="004C1CA7" w:rsidP="00040726">
            <w:pPr>
              <w:overflowPunct/>
              <w:autoSpaceDE/>
              <w:autoSpaceDN/>
              <w:adjustRightInd/>
              <w:textAlignment w:val="auto"/>
              <w:rPr>
                <w:color w:val="000000"/>
                <w:sz w:val="24"/>
                <w:szCs w:val="24"/>
                <w:lang w:val="en-CA" w:eastAsia="en-CA"/>
              </w:rPr>
            </w:pPr>
            <w:r w:rsidRPr="00981466">
              <w:rPr>
                <w:color w:val="000000"/>
                <w:sz w:val="24"/>
                <w:szCs w:val="24"/>
                <w:lang w:eastAsia="en-CA"/>
              </w:rPr>
              <w:t>Equity Position Risk</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B904D" w14:textId="59C1A92E" w:rsidR="004C1CA7" w:rsidRPr="00AF19E9" w:rsidRDefault="00221C10" w:rsidP="00040726">
            <w:pPr>
              <w:overflowPunct/>
              <w:autoSpaceDE/>
              <w:autoSpaceDN/>
              <w:adjustRightInd/>
              <w:jc w:val="right"/>
              <w:textAlignment w:val="auto"/>
              <w:rPr>
                <w:color w:val="000000"/>
                <w:sz w:val="24"/>
                <w:szCs w:val="24"/>
                <w:lang w:val="en-CA" w:eastAsia="en-CA"/>
              </w:rPr>
            </w:pPr>
            <w:r>
              <w:rPr>
                <w:color w:val="000000"/>
                <w:sz w:val="24"/>
                <w:szCs w:val="24"/>
                <w:lang w:eastAsia="en-CA"/>
              </w:rPr>
              <w:t>-</w:t>
            </w:r>
            <w:r w:rsidR="004C1CA7" w:rsidRPr="00AF19E9">
              <w:rPr>
                <w:color w:val="000000"/>
                <w:sz w:val="24"/>
                <w:szCs w:val="24"/>
                <w:lang w:eastAsia="en-CA"/>
              </w:rPr>
              <w:t xml:space="preserve">                                </w:t>
            </w:r>
          </w:p>
        </w:tc>
      </w:tr>
      <w:tr w:rsidR="004C1CA7" w:rsidRPr="00981466" w14:paraId="486D69C2" w14:textId="77777777" w:rsidTr="00040726">
        <w:trPr>
          <w:trHeight w:val="300"/>
        </w:trPr>
        <w:tc>
          <w:tcPr>
            <w:tcW w:w="7020" w:type="dxa"/>
            <w:tcBorders>
              <w:top w:val="single" w:sz="4" w:space="0" w:color="auto"/>
              <w:left w:val="single" w:sz="4" w:space="0" w:color="auto"/>
              <w:bottom w:val="single" w:sz="4" w:space="0" w:color="auto"/>
              <w:right w:val="nil"/>
            </w:tcBorders>
            <w:shd w:val="clear" w:color="auto" w:fill="auto"/>
            <w:vAlign w:val="center"/>
            <w:hideMark/>
          </w:tcPr>
          <w:p w14:paraId="34A96483" w14:textId="77777777" w:rsidR="004C1CA7" w:rsidRPr="00981466" w:rsidRDefault="004C1CA7" w:rsidP="00040726">
            <w:pPr>
              <w:overflowPunct/>
              <w:autoSpaceDE/>
              <w:autoSpaceDN/>
              <w:adjustRightInd/>
              <w:textAlignment w:val="auto"/>
              <w:rPr>
                <w:color w:val="000000"/>
                <w:sz w:val="24"/>
                <w:szCs w:val="24"/>
                <w:lang w:val="en-CA" w:eastAsia="en-CA"/>
              </w:rPr>
            </w:pPr>
            <w:r w:rsidRPr="00981466">
              <w:rPr>
                <w:color w:val="000000"/>
                <w:sz w:val="24"/>
                <w:szCs w:val="24"/>
                <w:lang w:eastAsia="en-CA"/>
              </w:rPr>
              <w:t>Foreign Exchange Risk</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1B79A" w14:textId="75841E27" w:rsidR="004C1CA7" w:rsidRPr="00AF19E9" w:rsidRDefault="00221C10" w:rsidP="00040726">
            <w:pPr>
              <w:overflowPunct/>
              <w:autoSpaceDE/>
              <w:autoSpaceDN/>
              <w:adjustRightInd/>
              <w:jc w:val="right"/>
              <w:textAlignment w:val="auto"/>
              <w:rPr>
                <w:color w:val="000000"/>
                <w:sz w:val="24"/>
                <w:szCs w:val="24"/>
                <w:lang w:val="en-CA" w:eastAsia="en-CA"/>
              </w:rPr>
            </w:pPr>
            <w:r>
              <w:rPr>
                <w:color w:val="000000"/>
                <w:sz w:val="24"/>
                <w:szCs w:val="24"/>
                <w:lang w:eastAsia="en-CA"/>
              </w:rPr>
              <w:t>212,878</w:t>
            </w:r>
            <w:r w:rsidRPr="00AF19E9">
              <w:rPr>
                <w:color w:val="000000"/>
                <w:sz w:val="24"/>
                <w:szCs w:val="24"/>
                <w:lang w:eastAsia="en-CA"/>
              </w:rPr>
              <w:t xml:space="preserve">                                </w:t>
            </w:r>
          </w:p>
        </w:tc>
      </w:tr>
      <w:tr w:rsidR="004C1CA7" w:rsidRPr="00981466" w14:paraId="2EB8622A" w14:textId="77777777" w:rsidTr="00040726">
        <w:trPr>
          <w:trHeight w:val="300"/>
        </w:trPr>
        <w:tc>
          <w:tcPr>
            <w:tcW w:w="7020" w:type="dxa"/>
            <w:tcBorders>
              <w:top w:val="single" w:sz="4" w:space="0" w:color="auto"/>
              <w:left w:val="single" w:sz="4" w:space="0" w:color="auto"/>
              <w:bottom w:val="single" w:sz="4" w:space="0" w:color="auto"/>
              <w:right w:val="nil"/>
            </w:tcBorders>
            <w:shd w:val="clear" w:color="auto" w:fill="auto"/>
            <w:vAlign w:val="center"/>
            <w:hideMark/>
          </w:tcPr>
          <w:p w14:paraId="287F1703" w14:textId="77777777" w:rsidR="004C1CA7" w:rsidRPr="00981466" w:rsidRDefault="004C1CA7" w:rsidP="00040726">
            <w:pPr>
              <w:overflowPunct/>
              <w:autoSpaceDE/>
              <w:autoSpaceDN/>
              <w:adjustRightInd/>
              <w:textAlignment w:val="auto"/>
              <w:rPr>
                <w:b/>
                <w:bCs/>
                <w:color w:val="000000"/>
                <w:sz w:val="24"/>
                <w:szCs w:val="24"/>
                <w:lang w:val="en-CA" w:eastAsia="en-CA"/>
              </w:rPr>
            </w:pPr>
            <w:r w:rsidRPr="00981466">
              <w:rPr>
                <w:b/>
                <w:bCs/>
                <w:color w:val="000000"/>
                <w:sz w:val="24"/>
                <w:szCs w:val="24"/>
                <w:lang w:eastAsia="en-CA"/>
              </w:rPr>
              <w:t>Total</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29845" w14:textId="77777777" w:rsidR="004C1CA7" w:rsidRPr="00AF19E9" w:rsidRDefault="004C1CA7" w:rsidP="00040726">
            <w:pPr>
              <w:overflowPunct/>
              <w:autoSpaceDE/>
              <w:autoSpaceDN/>
              <w:adjustRightInd/>
              <w:jc w:val="right"/>
              <w:textAlignment w:val="auto"/>
              <w:rPr>
                <w:b/>
                <w:bCs/>
                <w:color w:val="000000"/>
                <w:sz w:val="24"/>
                <w:szCs w:val="24"/>
                <w:lang w:val="en-CA" w:eastAsia="en-CA"/>
              </w:rPr>
            </w:pPr>
            <w:r>
              <w:rPr>
                <w:b/>
                <w:bCs/>
                <w:color w:val="000000"/>
                <w:sz w:val="24"/>
                <w:szCs w:val="24"/>
                <w:lang w:eastAsia="en-CA"/>
              </w:rPr>
              <w:t>278,805</w:t>
            </w:r>
          </w:p>
        </w:tc>
      </w:tr>
    </w:tbl>
    <w:p w14:paraId="729AA997" w14:textId="77777777" w:rsidR="004C1CA7" w:rsidRPr="00981466" w:rsidRDefault="004C1CA7" w:rsidP="004C1CA7">
      <w:pPr>
        <w:tabs>
          <w:tab w:val="num" w:pos="720"/>
        </w:tabs>
        <w:overflowPunct/>
        <w:autoSpaceDE/>
        <w:autoSpaceDN/>
        <w:adjustRightInd/>
        <w:ind w:left="720"/>
        <w:textAlignment w:val="auto"/>
        <w:rPr>
          <w:b/>
          <w:sz w:val="24"/>
          <w:szCs w:val="24"/>
        </w:rPr>
      </w:pPr>
    </w:p>
    <w:p w14:paraId="3268F8DF" w14:textId="77777777" w:rsidR="004C1CA7" w:rsidRPr="00981466" w:rsidRDefault="004C1CA7" w:rsidP="004C1CA7">
      <w:pPr>
        <w:numPr>
          <w:ilvl w:val="0"/>
          <w:numId w:val="7"/>
        </w:numPr>
        <w:tabs>
          <w:tab w:val="clear" w:pos="1800"/>
          <w:tab w:val="num" w:pos="720"/>
        </w:tabs>
        <w:overflowPunct/>
        <w:autoSpaceDE/>
        <w:autoSpaceDN/>
        <w:adjustRightInd/>
        <w:ind w:left="720" w:hanging="720"/>
        <w:textAlignment w:val="auto"/>
        <w:rPr>
          <w:b/>
          <w:sz w:val="24"/>
          <w:szCs w:val="24"/>
        </w:rPr>
      </w:pPr>
      <w:r w:rsidRPr="00981466">
        <w:rPr>
          <w:b/>
          <w:sz w:val="24"/>
          <w:szCs w:val="24"/>
        </w:rPr>
        <w:t>DF-8: Operational Risk</w:t>
      </w:r>
    </w:p>
    <w:p w14:paraId="002055F6" w14:textId="77777777" w:rsidR="004C1CA7" w:rsidRPr="00981466" w:rsidRDefault="004C1CA7" w:rsidP="004C1CA7">
      <w:pPr>
        <w:ind w:left="720"/>
        <w:rPr>
          <w:b/>
          <w:sz w:val="24"/>
          <w:szCs w:val="24"/>
        </w:rPr>
      </w:pPr>
      <w:r w:rsidRPr="00981466">
        <w:rPr>
          <w:b/>
          <w:sz w:val="24"/>
          <w:szCs w:val="24"/>
        </w:rPr>
        <w:t>Qualitative disclosures</w:t>
      </w:r>
    </w:p>
    <w:p w14:paraId="738E74C3" w14:textId="77777777" w:rsidR="004C1CA7" w:rsidRPr="00981466" w:rsidRDefault="004C1CA7" w:rsidP="004C1CA7">
      <w:pPr>
        <w:ind w:left="720"/>
        <w:jc w:val="both"/>
        <w:rPr>
          <w:sz w:val="24"/>
          <w:szCs w:val="24"/>
        </w:rPr>
      </w:pPr>
      <w:r w:rsidRPr="00981466">
        <w:rPr>
          <w:sz w:val="24"/>
          <w:szCs w:val="24"/>
        </w:rPr>
        <w:t>Operational risk is the risk of loss, whether direct or indirect, to which the Bank is exposed due to external events, human error, or the inadequacy or failure of processes, procedures, systems or controls. Operational risk, in some form, exists in each of the Bank’s business and support activities and can result in financial loss, regulatory sanctions and damage to the Bank’s reputation.  Operational risk encompasses business process and change risk, technology failure, financial crime and legal and regulatory risk.</w:t>
      </w:r>
    </w:p>
    <w:p w14:paraId="3B225819" w14:textId="77777777" w:rsidR="004C1CA7" w:rsidRPr="00981466" w:rsidRDefault="004C1CA7" w:rsidP="004C1CA7">
      <w:pPr>
        <w:ind w:left="720"/>
        <w:jc w:val="both"/>
        <w:rPr>
          <w:sz w:val="24"/>
          <w:szCs w:val="24"/>
        </w:rPr>
      </w:pPr>
      <w:r w:rsidRPr="00981466">
        <w:rPr>
          <w:sz w:val="24"/>
          <w:szCs w:val="24"/>
        </w:rPr>
        <w:t>The governing principles and fundamental components of the Bank’s operational risk management approach include:</w:t>
      </w:r>
    </w:p>
    <w:p w14:paraId="2F9A97AA" w14:textId="77777777" w:rsidR="004C1CA7" w:rsidRPr="00981466" w:rsidRDefault="004C1CA7" w:rsidP="004C1CA7">
      <w:pPr>
        <w:widowControl w:val="0"/>
        <w:numPr>
          <w:ilvl w:val="0"/>
          <w:numId w:val="3"/>
        </w:numPr>
        <w:tabs>
          <w:tab w:val="clear" w:pos="360"/>
          <w:tab w:val="num" w:pos="1080"/>
        </w:tabs>
        <w:overflowPunct/>
        <w:autoSpaceDE/>
        <w:autoSpaceDN/>
        <w:spacing w:before="60"/>
        <w:ind w:left="1080"/>
        <w:jc w:val="both"/>
        <w:rPr>
          <w:sz w:val="24"/>
          <w:szCs w:val="24"/>
        </w:rPr>
      </w:pPr>
      <w:r w:rsidRPr="00981466">
        <w:rPr>
          <w:sz w:val="24"/>
          <w:szCs w:val="24"/>
        </w:rPr>
        <w:t>Accountability in the individual business lines for management and control of the significant operational risks to which they are exposed.</w:t>
      </w:r>
    </w:p>
    <w:p w14:paraId="58B933C4" w14:textId="77777777" w:rsidR="004C1CA7" w:rsidRPr="00981466" w:rsidRDefault="004C1CA7" w:rsidP="004C1CA7">
      <w:pPr>
        <w:widowControl w:val="0"/>
        <w:numPr>
          <w:ilvl w:val="0"/>
          <w:numId w:val="3"/>
        </w:numPr>
        <w:tabs>
          <w:tab w:val="clear" w:pos="360"/>
          <w:tab w:val="num" w:pos="1080"/>
        </w:tabs>
        <w:overflowPunct/>
        <w:autoSpaceDE/>
        <w:autoSpaceDN/>
        <w:spacing w:before="60"/>
        <w:ind w:left="1080"/>
        <w:jc w:val="both"/>
        <w:rPr>
          <w:sz w:val="24"/>
          <w:szCs w:val="24"/>
        </w:rPr>
      </w:pPr>
      <w:r w:rsidRPr="00981466">
        <w:rPr>
          <w:sz w:val="24"/>
          <w:szCs w:val="24"/>
        </w:rPr>
        <w:lastRenderedPageBreak/>
        <w:t>A well-defined internal control procedure.</w:t>
      </w:r>
    </w:p>
    <w:p w14:paraId="5403CC54" w14:textId="77777777" w:rsidR="004C1CA7" w:rsidRPr="00981466" w:rsidRDefault="004C1CA7" w:rsidP="004C1CA7">
      <w:pPr>
        <w:widowControl w:val="0"/>
        <w:numPr>
          <w:ilvl w:val="0"/>
          <w:numId w:val="3"/>
        </w:numPr>
        <w:tabs>
          <w:tab w:val="clear" w:pos="360"/>
          <w:tab w:val="num" w:pos="1080"/>
        </w:tabs>
        <w:overflowPunct/>
        <w:autoSpaceDE/>
        <w:autoSpaceDN/>
        <w:spacing w:before="60"/>
        <w:ind w:left="1080"/>
        <w:jc w:val="both"/>
        <w:rPr>
          <w:sz w:val="24"/>
          <w:szCs w:val="24"/>
        </w:rPr>
      </w:pPr>
      <w:r w:rsidRPr="00981466">
        <w:rPr>
          <w:sz w:val="24"/>
          <w:szCs w:val="24"/>
        </w:rPr>
        <w:t>An effective organization structure through which operational risk is managed, including:</w:t>
      </w:r>
    </w:p>
    <w:p w14:paraId="30C2A276" w14:textId="77777777" w:rsidR="004C1CA7" w:rsidRPr="00981466" w:rsidRDefault="004C1CA7" w:rsidP="004C1CA7">
      <w:pPr>
        <w:widowControl w:val="0"/>
        <w:numPr>
          <w:ilvl w:val="1"/>
          <w:numId w:val="3"/>
        </w:numPr>
        <w:tabs>
          <w:tab w:val="clear" w:pos="1080"/>
          <w:tab w:val="num" w:pos="1440"/>
        </w:tabs>
        <w:overflowPunct/>
        <w:autoSpaceDE/>
        <w:autoSpaceDN/>
        <w:spacing w:before="60"/>
        <w:ind w:left="1440"/>
        <w:jc w:val="both"/>
        <w:rPr>
          <w:sz w:val="24"/>
          <w:szCs w:val="24"/>
        </w:rPr>
      </w:pPr>
      <w:r w:rsidRPr="00981466">
        <w:rPr>
          <w:sz w:val="24"/>
          <w:szCs w:val="24"/>
        </w:rPr>
        <w:t>A Board of Directors responsible for sound corporate governance.</w:t>
      </w:r>
    </w:p>
    <w:p w14:paraId="35DF4A95" w14:textId="77777777" w:rsidR="004C1CA7" w:rsidRPr="00981466" w:rsidRDefault="004C1CA7" w:rsidP="004C1CA7">
      <w:pPr>
        <w:widowControl w:val="0"/>
        <w:numPr>
          <w:ilvl w:val="1"/>
          <w:numId w:val="3"/>
        </w:numPr>
        <w:tabs>
          <w:tab w:val="clear" w:pos="1080"/>
          <w:tab w:val="num" w:pos="1440"/>
        </w:tabs>
        <w:overflowPunct/>
        <w:autoSpaceDE/>
        <w:autoSpaceDN/>
        <w:spacing w:before="60"/>
        <w:ind w:left="1440"/>
        <w:jc w:val="both"/>
        <w:rPr>
          <w:sz w:val="24"/>
          <w:szCs w:val="24"/>
        </w:rPr>
      </w:pPr>
      <w:r w:rsidRPr="00981466">
        <w:rPr>
          <w:sz w:val="24"/>
          <w:szCs w:val="24"/>
        </w:rPr>
        <w:t>Executive management who have clearly defined areas of responsibility.</w:t>
      </w:r>
    </w:p>
    <w:p w14:paraId="523CF511" w14:textId="77777777" w:rsidR="004C1CA7" w:rsidRPr="00981466" w:rsidRDefault="004C1CA7" w:rsidP="004C1CA7">
      <w:pPr>
        <w:widowControl w:val="0"/>
        <w:numPr>
          <w:ilvl w:val="1"/>
          <w:numId w:val="3"/>
        </w:numPr>
        <w:tabs>
          <w:tab w:val="clear" w:pos="1080"/>
          <w:tab w:val="num" w:pos="1440"/>
        </w:tabs>
        <w:overflowPunct/>
        <w:autoSpaceDE/>
        <w:autoSpaceDN/>
        <w:spacing w:before="60"/>
        <w:ind w:left="1440"/>
        <w:jc w:val="both"/>
        <w:rPr>
          <w:sz w:val="24"/>
          <w:szCs w:val="24"/>
        </w:rPr>
      </w:pPr>
      <w:r w:rsidRPr="00981466">
        <w:rPr>
          <w:sz w:val="24"/>
          <w:szCs w:val="24"/>
        </w:rPr>
        <w:t>Separation of duties between key functions.</w:t>
      </w:r>
    </w:p>
    <w:p w14:paraId="07927D33" w14:textId="77777777" w:rsidR="004C1CA7" w:rsidRPr="00981466" w:rsidRDefault="004C1CA7" w:rsidP="004C1CA7">
      <w:pPr>
        <w:widowControl w:val="0"/>
        <w:numPr>
          <w:ilvl w:val="1"/>
          <w:numId w:val="3"/>
        </w:numPr>
        <w:tabs>
          <w:tab w:val="clear" w:pos="1080"/>
          <w:tab w:val="num" w:pos="1440"/>
        </w:tabs>
        <w:overflowPunct/>
        <w:autoSpaceDE/>
        <w:autoSpaceDN/>
        <w:spacing w:before="60"/>
        <w:ind w:left="1440"/>
        <w:jc w:val="both"/>
        <w:rPr>
          <w:sz w:val="24"/>
          <w:szCs w:val="24"/>
        </w:rPr>
      </w:pPr>
      <w:r w:rsidRPr="00981466">
        <w:rPr>
          <w:sz w:val="24"/>
          <w:szCs w:val="24"/>
        </w:rPr>
        <w:t>An independent internal audit department responsible for verifying that significant risks are identified and assessed and for determining whether appropriate controls are in place to ensure that overall risks is at an acceptable level.</w:t>
      </w:r>
    </w:p>
    <w:p w14:paraId="19D9AFD9" w14:textId="77777777" w:rsidR="004C1CA7" w:rsidRPr="00981466" w:rsidRDefault="004C1CA7" w:rsidP="004C1CA7">
      <w:pPr>
        <w:widowControl w:val="0"/>
        <w:numPr>
          <w:ilvl w:val="1"/>
          <w:numId w:val="3"/>
        </w:numPr>
        <w:tabs>
          <w:tab w:val="clear" w:pos="1080"/>
          <w:tab w:val="num" w:pos="1440"/>
        </w:tabs>
        <w:overflowPunct/>
        <w:autoSpaceDE/>
        <w:autoSpaceDN/>
        <w:spacing w:before="60"/>
        <w:ind w:left="1440"/>
        <w:jc w:val="both"/>
        <w:rPr>
          <w:sz w:val="24"/>
          <w:szCs w:val="24"/>
        </w:rPr>
      </w:pPr>
      <w:r w:rsidRPr="00981466">
        <w:rPr>
          <w:sz w:val="24"/>
          <w:szCs w:val="24"/>
        </w:rPr>
        <w:t>The Bank’s business continuity management policies, which require that all business units develop business continuity capabilities for their respective functions. The Bank’s Business Continuity Management Department at Head Office is responsible for governance and oversight of the Bank’s business continuity and tracks, monitors and ensures compliance with these policies.</w:t>
      </w:r>
    </w:p>
    <w:p w14:paraId="4F3BD2A6" w14:textId="77777777" w:rsidR="004C1CA7" w:rsidRPr="00981466" w:rsidRDefault="004C1CA7" w:rsidP="004C1CA7">
      <w:pPr>
        <w:widowControl w:val="0"/>
        <w:numPr>
          <w:ilvl w:val="1"/>
          <w:numId w:val="3"/>
        </w:numPr>
        <w:tabs>
          <w:tab w:val="clear" w:pos="1080"/>
          <w:tab w:val="num" w:pos="1440"/>
        </w:tabs>
        <w:overflowPunct/>
        <w:autoSpaceDE/>
        <w:autoSpaceDN/>
        <w:spacing w:before="60"/>
        <w:ind w:left="1440"/>
        <w:jc w:val="both"/>
        <w:rPr>
          <w:sz w:val="24"/>
          <w:szCs w:val="24"/>
        </w:rPr>
      </w:pPr>
      <w:r w:rsidRPr="00981466">
        <w:rPr>
          <w:sz w:val="24"/>
          <w:szCs w:val="24"/>
        </w:rPr>
        <w:t>The Bank’s training programs, such as the mandatory Anti-Money Laundering, Operational Risk and Information Security courses and examination which ensure employees are aware and equipped to safeguard our customers’ and the Bank’s assets.</w:t>
      </w:r>
    </w:p>
    <w:p w14:paraId="450D1AB2" w14:textId="77777777" w:rsidR="004C1CA7" w:rsidRPr="00981466" w:rsidRDefault="004C1CA7" w:rsidP="004C1CA7">
      <w:pPr>
        <w:widowControl w:val="0"/>
        <w:numPr>
          <w:ilvl w:val="1"/>
          <w:numId w:val="3"/>
        </w:numPr>
        <w:tabs>
          <w:tab w:val="clear" w:pos="1080"/>
          <w:tab w:val="num" w:pos="1440"/>
        </w:tabs>
        <w:overflowPunct/>
        <w:autoSpaceDE/>
        <w:autoSpaceDN/>
        <w:spacing w:before="60"/>
        <w:ind w:left="1440"/>
        <w:jc w:val="both"/>
        <w:rPr>
          <w:sz w:val="24"/>
          <w:szCs w:val="24"/>
        </w:rPr>
      </w:pPr>
      <w:r w:rsidRPr="00981466">
        <w:rPr>
          <w:sz w:val="24"/>
          <w:szCs w:val="24"/>
        </w:rPr>
        <w:t>Risk mitigation programs, which use insurance policies to transfer the risk of high severity losses e.g. cash, where feasible and appropriate.</w:t>
      </w:r>
    </w:p>
    <w:p w14:paraId="22C60A30" w14:textId="77777777" w:rsidR="004C1CA7" w:rsidRPr="00981466" w:rsidRDefault="004C1CA7" w:rsidP="004C1CA7">
      <w:pPr>
        <w:widowControl w:val="0"/>
        <w:overflowPunct/>
        <w:autoSpaceDE/>
        <w:autoSpaceDN/>
        <w:ind w:left="720"/>
        <w:jc w:val="both"/>
        <w:rPr>
          <w:b/>
          <w:sz w:val="24"/>
          <w:szCs w:val="24"/>
        </w:rPr>
      </w:pPr>
    </w:p>
    <w:p w14:paraId="2281A004" w14:textId="77777777" w:rsidR="004C1CA7" w:rsidRPr="00981466" w:rsidRDefault="004C1CA7" w:rsidP="004C1CA7">
      <w:pPr>
        <w:widowControl w:val="0"/>
        <w:overflowPunct/>
        <w:autoSpaceDE/>
        <w:autoSpaceDN/>
        <w:ind w:left="720"/>
        <w:jc w:val="both"/>
        <w:rPr>
          <w:b/>
          <w:sz w:val="24"/>
          <w:szCs w:val="24"/>
        </w:rPr>
      </w:pPr>
      <w:r w:rsidRPr="00981466">
        <w:rPr>
          <w:b/>
          <w:sz w:val="24"/>
          <w:szCs w:val="24"/>
        </w:rPr>
        <w:t>Approach for Operational Risk Capital Assessment</w:t>
      </w:r>
    </w:p>
    <w:p w14:paraId="61E4855B" w14:textId="77777777" w:rsidR="004C1CA7" w:rsidRPr="00981466" w:rsidRDefault="004C1CA7" w:rsidP="004C1CA7">
      <w:pPr>
        <w:widowControl w:val="0"/>
        <w:overflowPunct/>
        <w:autoSpaceDE/>
        <w:autoSpaceDN/>
        <w:ind w:left="720"/>
        <w:jc w:val="both"/>
        <w:rPr>
          <w:i/>
          <w:sz w:val="24"/>
          <w:szCs w:val="24"/>
        </w:rPr>
      </w:pPr>
      <w:r w:rsidRPr="00981466">
        <w:rPr>
          <w:sz w:val="24"/>
          <w:szCs w:val="24"/>
        </w:rPr>
        <w:t xml:space="preserve">As per RBI guidelines, the Bank has adopted Basic Indicator Approach (BIA) for assessing capital for Operational Risk. As per BIA, the capital requirement as on 31 </w:t>
      </w:r>
      <w:proofErr w:type="gramStart"/>
      <w:r w:rsidRPr="00981466">
        <w:rPr>
          <w:sz w:val="24"/>
          <w:szCs w:val="24"/>
        </w:rPr>
        <w:t>March,</w:t>
      </w:r>
      <w:proofErr w:type="gramEnd"/>
      <w:r w:rsidRPr="00981466">
        <w:rPr>
          <w:sz w:val="24"/>
          <w:szCs w:val="24"/>
        </w:rPr>
        <w:t xml:space="preserve"> </w:t>
      </w:r>
      <w:r>
        <w:rPr>
          <w:sz w:val="24"/>
          <w:szCs w:val="24"/>
        </w:rPr>
        <w:t>2021</w:t>
      </w:r>
      <w:r w:rsidRPr="00981466">
        <w:rPr>
          <w:sz w:val="24"/>
          <w:szCs w:val="24"/>
        </w:rPr>
        <w:t>, is Rs.</w:t>
      </w:r>
      <w:r>
        <w:rPr>
          <w:sz w:val="24"/>
          <w:szCs w:val="24"/>
        </w:rPr>
        <w:t xml:space="preserve">383,268 </w:t>
      </w:r>
      <w:r w:rsidRPr="00981466">
        <w:rPr>
          <w:sz w:val="24"/>
          <w:szCs w:val="24"/>
        </w:rPr>
        <w:t>thousand</w:t>
      </w:r>
      <w:r>
        <w:rPr>
          <w:sz w:val="24"/>
          <w:szCs w:val="24"/>
        </w:rPr>
        <w:t>s</w:t>
      </w:r>
      <w:r w:rsidRPr="00981466">
        <w:rPr>
          <w:sz w:val="24"/>
          <w:szCs w:val="24"/>
        </w:rPr>
        <w:t xml:space="preserve"> </w:t>
      </w:r>
      <w:r w:rsidRPr="00981466">
        <w:rPr>
          <w:i/>
          <w:sz w:val="24"/>
          <w:szCs w:val="24"/>
        </w:rPr>
        <w:t xml:space="preserve">(previous year Rs. </w:t>
      </w:r>
      <w:r>
        <w:rPr>
          <w:i/>
          <w:sz w:val="24"/>
          <w:szCs w:val="24"/>
        </w:rPr>
        <w:t>458,442</w:t>
      </w:r>
      <w:r w:rsidRPr="00981466">
        <w:rPr>
          <w:i/>
          <w:sz w:val="24"/>
          <w:szCs w:val="24"/>
        </w:rPr>
        <w:t xml:space="preserve"> </w:t>
      </w:r>
      <w:proofErr w:type="gramStart"/>
      <w:r w:rsidRPr="00981466">
        <w:rPr>
          <w:i/>
          <w:sz w:val="24"/>
          <w:szCs w:val="24"/>
        </w:rPr>
        <w:t>thousand</w:t>
      </w:r>
      <w:r>
        <w:rPr>
          <w:i/>
          <w:sz w:val="24"/>
          <w:szCs w:val="24"/>
        </w:rPr>
        <w:t>s</w:t>
      </w:r>
      <w:proofErr w:type="gramEnd"/>
      <w:r w:rsidRPr="00981466">
        <w:rPr>
          <w:i/>
          <w:sz w:val="24"/>
          <w:szCs w:val="24"/>
        </w:rPr>
        <w:t>).</w:t>
      </w:r>
    </w:p>
    <w:p w14:paraId="16DCCDFA" w14:textId="77777777" w:rsidR="004C1CA7" w:rsidRPr="00981466" w:rsidRDefault="004C1CA7" w:rsidP="004C1CA7">
      <w:pPr>
        <w:rPr>
          <w:sz w:val="24"/>
          <w:szCs w:val="24"/>
        </w:rPr>
      </w:pPr>
    </w:p>
    <w:p w14:paraId="2FD6A219" w14:textId="77777777" w:rsidR="004C1CA7" w:rsidRPr="00981466" w:rsidRDefault="004C1CA7" w:rsidP="004C1CA7">
      <w:pPr>
        <w:numPr>
          <w:ilvl w:val="0"/>
          <w:numId w:val="7"/>
        </w:numPr>
        <w:tabs>
          <w:tab w:val="clear" w:pos="1800"/>
          <w:tab w:val="num" w:pos="720"/>
        </w:tabs>
        <w:overflowPunct/>
        <w:autoSpaceDE/>
        <w:autoSpaceDN/>
        <w:adjustRightInd/>
        <w:ind w:left="720" w:hanging="720"/>
        <w:textAlignment w:val="auto"/>
        <w:rPr>
          <w:b/>
          <w:sz w:val="24"/>
          <w:szCs w:val="24"/>
        </w:rPr>
      </w:pPr>
      <w:r w:rsidRPr="00981466">
        <w:rPr>
          <w:b/>
          <w:sz w:val="24"/>
          <w:szCs w:val="24"/>
        </w:rPr>
        <w:t>DF-</w:t>
      </w:r>
      <w:proofErr w:type="gramStart"/>
      <w:r w:rsidRPr="00981466">
        <w:rPr>
          <w:b/>
          <w:sz w:val="24"/>
          <w:szCs w:val="24"/>
        </w:rPr>
        <w:t>9:-</w:t>
      </w:r>
      <w:proofErr w:type="gramEnd"/>
      <w:r w:rsidRPr="00981466">
        <w:rPr>
          <w:b/>
          <w:sz w:val="24"/>
          <w:szCs w:val="24"/>
        </w:rPr>
        <w:t>Interest Rate Risk in the Banking Book (IRRBB)</w:t>
      </w:r>
    </w:p>
    <w:p w14:paraId="58156E59" w14:textId="77777777" w:rsidR="004C1CA7" w:rsidRPr="00981466" w:rsidRDefault="004C1CA7" w:rsidP="004C1CA7">
      <w:pPr>
        <w:pStyle w:val="BodySingle"/>
        <w:ind w:left="720"/>
        <w:rPr>
          <w:b/>
          <w:szCs w:val="24"/>
        </w:rPr>
      </w:pPr>
      <w:r w:rsidRPr="00981466">
        <w:rPr>
          <w:b/>
          <w:szCs w:val="24"/>
        </w:rPr>
        <w:t>Qualitative Disclosures</w:t>
      </w:r>
    </w:p>
    <w:p w14:paraId="537FF9CB" w14:textId="2A420A4F" w:rsidR="00E63625" w:rsidRPr="00981466" w:rsidRDefault="004C1CA7" w:rsidP="004C1CA7">
      <w:pPr>
        <w:ind w:left="720"/>
        <w:jc w:val="both"/>
        <w:rPr>
          <w:sz w:val="24"/>
          <w:szCs w:val="24"/>
        </w:rPr>
      </w:pPr>
      <w:r w:rsidRPr="00981466">
        <w:rPr>
          <w:sz w:val="24"/>
          <w:szCs w:val="24"/>
        </w:rPr>
        <w:t xml:space="preserve">Interest Rate Risk in Banking Book (IRRBB) refers to the risk of loss in earnings or economic value of the Bank’s Banking Book </w:t>
      </w:r>
      <w:proofErr w:type="gramStart"/>
      <w:r w:rsidRPr="00981466">
        <w:rPr>
          <w:sz w:val="24"/>
          <w:szCs w:val="24"/>
        </w:rPr>
        <w:t>as a consequence of</w:t>
      </w:r>
      <w:proofErr w:type="gramEnd"/>
      <w:r w:rsidRPr="00981466">
        <w:rPr>
          <w:sz w:val="24"/>
          <w:szCs w:val="24"/>
        </w:rPr>
        <w:t xml:space="preserve"> movement in interest rates. Interest rate risk arises from holding assets / liabilities and Off-Balance Sheet items with different principal amount, maturity dates or repricing dates thereby creating exposure to changes in levels of interest rates. The Bank actively manages its interest rate exposures with the objective of enhancing net interest income within established risk tolerances. </w:t>
      </w:r>
      <w:r w:rsidR="00AA4636">
        <w:rPr>
          <w:sz w:val="24"/>
          <w:szCs w:val="24"/>
        </w:rPr>
        <w:t xml:space="preserve">Management of </w:t>
      </w:r>
      <w:r w:rsidR="00AA4636" w:rsidRPr="00981466">
        <w:rPr>
          <w:sz w:val="24"/>
          <w:szCs w:val="24"/>
        </w:rPr>
        <w:t xml:space="preserve">Interest rate risk arising from the Bank’s funding and investment activities is </w:t>
      </w:r>
      <w:r w:rsidR="00AA4636">
        <w:rPr>
          <w:sz w:val="24"/>
          <w:szCs w:val="24"/>
        </w:rPr>
        <w:t xml:space="preserve">managed by Treasury </w:t>
      </w:r>
      <w:r w:rsidR="00AA4636" w:rsidRPr="001B0A27">
        <w:rPr>
          <w:sz w:val="24"/>
          <w:szCs w:val="24"/>
        </w:rPr>
        <w:t>governed by local Asset Liability Committee (ALCO) in accordance with Board-approved policies (Head Office – Toronto, Canada) and allotted limits.</w:t>
      </w:r>
    </w:p>
    <w:p w14:paraId="67D0C8D7" w14:textId="77777777" w:rsidR="004C1CA7" w:rsidRPr="00981466" w:rsidRDefault="004C1CA7" w:rsidP="004C1CA7">
      <w:pPr>
        <w:ind w:left="720"/>
        <w:jc w:val="both"/>
        <w:rPr>
          <w:sz w:val="24"/>
          <w:szCs w:val="24"/>
        </w:rPr>
      </w:pPr>
    </w:p>
    <w:p w14:paraId="4FB5BDD7" w14:textId="1070131D" w:rsidR="004C1CA7" w:rsidRPr="00981466" w:rsidRDefault="004C1CA7" w:rsidP="004C1CA7">
      <w:pPr>
        <w:ind w:left="720"/>
        <w:jc w:val="both"/>
        <w:rPr>
          <w:sz w:val="24"/>
          <w:szCs w:val="24"/>
        </w:rPr>
      </w:pPr>
      <w:r w:rsidRPr="00981466">
        <w:rPr>
          <w:sz w:val="24"/>
          <w:szCs w:val="24"/>
        </w:rPr>
        <w:t>Interest rate exposure calculations are generally based on the earlier of contractual re-pricing or maturity of on-balance sheet and off-balance sheet assets and liabilities, although certain assets and liabilities such as deposits without a fixed maturity are assigned a maturity profile based on longevity of the exposure. Gap analysis is used to assess exposures and for planning purposes.</w:t>
      </w:r>
    </w:p>
    <w:p w14:paraId="0A40C3DD" w14:textId="77777777" w:rsidR="004C1CA7" w:rsidRPr="00981466" w:rsidRDefault="004C1CA7" w:rsidP="004C1CA7">
      <w:pPr>
        <w:pStyle w:val="BodySingle"/>
        <w:ind w:left="720"/>
        <w:rPr>
          <w:szCs w:val="24"/>
        </w:rPr>
      </w:pPr>
    </w:p>
    <w:p w14:paraId="71A6B832" w14:textId="77777777" w:rsidR="004C1CA7" w:rsidRPr="00981466" w:rsidRDefault="004C1CA7" w:rsidP="004C1CA7">
      <w:pPr>
        <w:pStyle w:val="BodySingle"/>
        <w:ind w:left="720"/>
        <w:rPr>
          <w:b/>
          <w:szCs w:val="24"/>
        </w:rPr>
      </w:pPr>
      <w:r w:rsidRPr="00981466">
        <w:rPr>
          <w:b/>
          <w:szCs w:val="24"/>
        </w:rPr>
        <w:t>Quantitative Disclosures</w:t>
      </w:r>
    </w:p>
    <w:p w14:paraId="23F537DF" w14:textId="77777777" w:rsidR="004C1CA7" w:rsidRPr="00981466" w:rsidRDefault="004C1CA7" w:rsidP="004C1CA7">
      <w:pPr>
        <w:pStyle w:val="BodySingle"/>
        <w:ind w:left="720"/>
        <w:jc w:val="both"/>
        <w:rPr>
          <w:szCs w:val="24"/>
          <w:lang w:val="en-US"/>
        </w:rPr>
      </w:pPr>
      <w:r w:rsidRPr="00981466">
        <w:rPr>
          <w:szCs w:val="24"/>
        </w:rPr>
        <w:lastRenderedPageBreak/>
        <w:t xml:space="preserve">As required under Pillar III norms, the increase / decline in earnings and economic value for an upward / downward rate shock of 200 basis points as on 31 March </w:t>
      </w:r>
      <w:r>
        <w:rPr>
          <w:szCs w:val="24"/>
        </w:rPr>
        <w:t>2021</w:t>
      </w:r>
      <w:r w:rsidRPr="00981466">
        <w:rPr>
          <w:szCs w:val="24"/>
        </w:rPr>
        <w:t>, broken down by currency is as follows:</w:t>
      </w:r>
    </w:p>
    <w:p w14:paraId="116D3A76" w14:textId="77777777" w:rsidR="004C1CA7" w:rsidRPr="00981466" w:rsidRDefault="004C1CA7" w:rsidP="004C1CA7">
      <w:pPr>
        <w:pStyle w:val="BodySingle"/>
        <w:ind w:left="720" w:right="-90"/>
        <w:jc w:val="both"/>
        <w:rPr>
          <w:szCs w:val="24"/>
        </w:rPr>
      </w:pPr>
      <w:r w:rsidRPr="00981466">
        <w:rPr>
          <w:szCs w:val="24"/>
        </w:rPr>
        <w:br/>
        <w:t>Earnings Perspective</w:t>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t xml:space="preserve"> </w:t>
      </w:r>
      <w:r>
        <w:rPr>
          <w:szCs w:val="24"/>
          <w:lang w:val="en-US"/>
        </w:rPr>
        <w:t xml:space="preserve">   </w:t>
      </w:r>
      <w:r w:rsidRPr="00981466">
        <w:rPr>
          <w:szCs w:val="24"/>
        </w:rPr>
        <w:t xml:space="preserve"> (In Rs.000’s)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1800"/>
        <w:gridCol w:w="1620"/>
      </w:tblGrid>
      <w:tr w:rsidR="004C1CA7" w:rsidRPr="00981466" w14:paraId="72693C42" w14:textId="77777777" w:rsidTr="00040726">
        <w:tc>
          <w:tcPr>
            <w:tcW w:w="5580" w:type="dxa"/>
            <w:vMerge w:val="restart"/>
            <w:vAlign w:val="center"/>
          </w:tcPr>
          <w:p w14:paraId="2668692E" w14:textId="77777777" w:rsidR="004C1CA7" w:rsidRPr="00F64E9E" w:rsidRDefault="004C1CA7" w:rsidP="00040726">
            <w:pPr>
              <w:pStyle w:val="BodySingle"/>
              <w:jc w:val="center"/>
              <w:rPr>
                <w:szCs w:val="24"/>
              </w:rPr>
            </w:pPr>
            <w:r w:rsidRPr="00F64E9E">
              <w:rPr>
                <w:szCs w:val="24"/>
              </w:rPr>
              <w:t>Currency</w:t>
            </w:r>
          </w:p>
        </w:tc>
        <w:tc>
          <w:tcPr>
            <w:tcW w:w="3420" w:type="dxa"/>
            <w:gridSpan w:val="2"/>
          </w:tcPr>
          <w:p w14:paraId="0E97D8EA" w14:textId="77777777" w:rsidR="004C1CA7" w:rsidRPr="00F64E9E" w:rsidRDefault="004C1CA7" w:rsidP="00040726">
            <w:pPr>
              <w:pStyle w:val="BodySingle"/>
              <w:jc w:val="center"/>
              <w:rPr>
                <w:szCs w:val="24"/>
              </w:rPr>
            </w:pPr>
            <w:r w:rsidRPr="00F64E9E">
              <w:rPr>
                <w:szCs w:val="24"/>
              </w:rPr>
              <w:t>Interest Rate Shock</w:t>
            </w:r>
          </w:p>
        </w:tc>
      </w:tr>
      <w:tr w:rsidR="004C1CA7" w:rsidRPr="00981466" w14:paraId="277877B8" w14:textId="77777777" w:rsidTr="00040726">
        <w:tc>
          <w:tcPr>
            <w:tcW w:w="5580" w:type="dxa"/>
            <w:vMerge/>
          </w:tcPr>
          <w:p w14:paraId="4A39931B" w14:textId="77777777" w:rsidR="004C1CA7" w:rsidRPr="00F64E9E" w:rsidRDefault="004C1CA7" w:rsidP="00040726">
            <w:pPr>
              <w:pStyle w:val="BodySingle"/>
              <w:jc w:val="both"/>
              <w:rPr>
                <w:szCs w:val="24"/>
              </w:rPr>
            </w:pPr>
          </w:p>
        </w:tc>
        <w:tc>
          <w:tcPr>
            <w:tcW w:w="1800" w:type="dxa"/>
          </w:tcPr>
          <w:p w14:paraId="1DCD58A3" w14:textId="77777777" w:rsidR="004C1CA7" w:rsidRPr="00F64E9E" w:rsidRDefault="004C1CA7" w:rsidP="00040726">
            <w:pPr>
              <w:pStyle w:val="BodySingle"/>
              <w:jc w:val="center"/>
              <w:rPr>
                <w:szCs w:val="24"/>
              </w:rPr>
            </w:pPr>
            <w:r w:rsidRPr="00F64E9E">
              <w:rPr>
                <w:szCs w:val="24"/>
              </w:rPr>
              <w:t>2% Increase</w:t>
            </w:r>
          </w:p>
        </w:tc>
        <w:tc>
          <w:tcPr>
            <w:tcW w:w="1620" w:type="dxa"/>
          </w:tcPr>
          <w:p w14:paraId="69CE3948" w14:textId="77777777" w:rsidR="004C1CA7" w:rsidRPr="00F64E9E" w:rsidRDefault="004C1CA7" w:rsidP="00040726">
            <w:pPr>
              <w:pStyle w:val="BodySingle"/>
              <w:jc w:val="center"/>
              <w:rPr>
                <w:szCs w:val="24"/>
              </w:rPr>
            </w:pPr>
            <w:r w:rsidRPr="00F64E9E">
              <w:rPr>
                <w:szCs w:val="24"/>
              </w:rPr>
              <w:t>2% Decrease</w:t>
            </w:r>
          </w:p>
        </w:tc>
      </w:tr>
      <w:tr w:rsidR="004C1CA7" w:rsidRPr="00981466" w14:paraId="6A5C7D2B" w14:textId="77777777" w:rsidTr="00040726">
        <w:tc>
          <w:tcPr>
            <w:tcW w:w="5580" w:type="dxa"/>
          </w:tcPr>
          <w:p w14:paraId="53958B49" w14:textId="77777777" w:rsidR="004C1CA7" w:rsidRPr="00F64E9E" w:rsidRDefault="004C1CA7" w:rsidP="00040726">
            <w:pPr>
              <w:pStyle w:val="BodySingle"/>
              <w:jc w:val="both"/>
              <w:rPr>
                <w:szCs w:val="24"/>
                <w:lang w:val="en-US"/>
              </w:rPr>
            </w:pPr>
            <w:r w:rsidRPr="00F64E9E">
              <w:rPr>
                <w:szCs w:val="24"/>
              </w:rPr>
              <w:t xml:space="preserve">Rupees </w:t>
            </w:r>
          </w:p>
        </w:tc>
        <w:tc>
          <w:tcPr>
            <w:tcW w:w="1800" w:type="dxa"/>
          </w:tcPr>
          <w:p w14:paraId="2B0D4743" w14:textId="6885B334" w:rsidR="004C1CA7" w:rsidRPr="00F64E9E" w:rsidRDefault="00C73B92" w:rsidP="00040726">
            <w:pPr>
              <w:pStyle w:val="BodySingle"/>
              <w:jc w:val="center"/>
              <w:rPr>
                <w:szCs w:val="24"/>
                <w:lang w:val="en-US"/>
              </w:rPr>
            </w:pPr>
            <w:r w:rsidRPr="00F64E9E">
              <w:rPr>
                <w:szCs w:val="24"/>
                <w:lang w:val="en-US"/>
              </w:rPr>
              <w:t xml:space="preserve"> 216,401</w:t>
            </w:r>
          </w:p>
        </w:tc>
        <w:tc>
          <w:tcPr>
            <w:tcW w:w="1620" w:type="dxa"/>
          </w:tcPr>
          <w:p w14:paraId="3773A3B7" w14:textId="6C38C79A" w:rsidR="004C1CA7" w:rsidRPr="00F64E9E" w:rsidRDefault="00C73B92" w:rsidP="00040726">
            <w:pPr>
              <w:pStyle w:val="BodySingle"/>
              <w:jc w:val="center"/>
              <w:rPr>
                <w:szCs w:val="24"/>
                <w:lang w:val="en-US"/>
              </w:rPr>
            </w:pPr>
            <w:r w:rsidRPr="00F64E9E">
              <w:rPr>
                <w:szCs w:val="24"/>
                <w:lang w:val="en-US"/>
              </w:rPr>
              <w:t xml:space="preserve"> (216,401)</w:t>
            </w:r>
          </w:p>
        </w:tc>
      </w:tr>
      <w:tr w:rsidR="004C1CA7" w:rsidRPr="00981466" w14:paraId="2243CDC7" w14:textId="77777777" w:rsidTr="00040726">
        <w:tc>
          <w:tcPr>
            <w:tcW w:w="5580" w:type="dxa"/>
          </w:tcPr>
          <w:p w14:paraId="793AC4B7" w14:textId="77777777" w:rsidR="004C1CA7" w:rsidRPr="00F64E9E" w:rsidRDefault="004C1CA7" w:rsidP="00040726">
            <w:pPr>
              <w:pStyle w:val="BodySingle"/>
              <w:jc w:val="both"/>
              <w:rPr>
                <w:szCs w:val="24"/>
              </w:rPr>
            </w:pPr>
            <w:r w:rsidRPr="00F64E9E">
              <w:rPr>
                <w:szCs w:val="24"/>
              </w:rPr>
              <w:t>US Dollar</w:t>
            </w:r>
          </w:p>
        </w:tc>
        <w:tc>
          <w:tcPr>
            <w:tcW w:w="1800" w:type="dxa"/>
          </w:tcPr>
          <w:p w14:paraId="5E99A879" w14:textId="594E467F" w:rsidR="004C1CA7" w:rsidRPr="00F64E9E" w:rsidRDefault="00C73B92" w:rsidP="00040726">
            <w:pPr>
              <w:pStyle w:val="BodySingle"/>
              <w:jc w:val="center"/>
              <w:rPr>
                <w:szCs w:val="24"/>
                <w:lang w:val="en-US"/>
              </w:rPr>
            </w:pPr>
            <w:r w:rsidRPr="00F64E9E">
              <w:rPr>
                <w:szCs w:val="24"/>
                <w:lang w:val="en-US"/>
              </w:rPr>
              <w:t>(4,660)</w:t>
            </w:r>
          </w:p>
        </w:tc>
        <w:tc>
          <w:tcPr>
            <w:tcW w:w="1620" w:type="dxa"/>
          </w:tcPr>
          <w:p w14:paraId="47E11DDF" w14:textId="2AF3512D" w:rsidR="004C1CA7" w:rsidRPr="00220557" w:rsidRDefault="00C73B92" w:rsidP="00040726">
            <w:pPr>
              <w:pStyle w:val="BodySingle"/>
              <w:tabs>
                <w:tab w:val="left" w:pos="516"/>
                <w:tab w:val="center" w:pos="720"/>
              </w:tabs>
              <w:jc w:val="center"/>
              <w:rPr>
                <w:szCs w:val="24"/>
                <w:highlight w:val="yellow"/>
                <w:lang w:val="en-US"/>
              </w:rPr>
            </w:pPr>
            <w:r>
              <w:rPr>
                <w:szCs w:val="24"/>
                <w:lang w:val="en-US"/>
              </w:rPr>
              <w:t xml:space="preserve"> 4,660</w:t>
            </w:r>
          </w:p>
        </w:tc>
      </w:tr>
    </w:tbl>
    <w:p w14:paraId="1E3A1600" w14:textId="77777777" w:rsidR="004C1CA7" w:rsidRPr="00981466" w:rsidRDefault="004C1CA7" w:rsidP="004C1CA7">
      <w:pPr>
        <w:overflowPunct/>
        <w:autoSpaceDE/>
        <w:autoSpaceDN/>
        <w:adjustRightInd/>
        <w:textAlignment w:val="auto"/>
        <w:rPr>
          <w:b/>
          <w:sz w:val="24"/>
          <w:szCs w:val="24"/>
        </w:rPr>
      </w:pPr>
    </w:p>
    <w:p w14:paraId="356AB526" w14:textId="77777777" w:rsidR="004C1CA7" w:rsidRPr="00981466" w:rsidRDefault="004C1CA7" w:rsidP="004C1CA7">
      <w:pPr>
        <w:numPr>
          <w:ilvl w:val="0"/>
          <w:numId w:val="7"/>
        </w:numPr>
        <w:tabs>
          <w:tab w:val="clear" w:pos="1800"/>
          <w:tab w:val="num" w:pos="630"/>
        </w:tabs>
        <w:overflowPunct/>
        <w:autoSpaceDE/>
        <w:autoSpaceDN/>
        <w:adjustRightInd/>
        <w:ind w:left="720" w:hanging="720"/>
        <w:textAlignment w:val="auto"/>
        <w:rPr>
          <w:b/>
          <w:sz w:val="24"/>
          <w:szCs w:val="24"/>
        </w:rPr>
      </w:pPr>
      <w:r w:rsidRPr="00981466">
        <w:rPr>
          <w:b/>
          <w:sz w:val="24"/>
          <w:szCs w:val="24"/>
        </w:rPr>
        <w:t>DF-</w:t>
      </w:r>
      <w:proofErr w:type="gramStart"/>
      <w:r w:rsidRPr="00981466">
        <w:rPr>
          <w:b/>
          <w:sz w:val="24"/>
          <w:szCs w:val="24"/>
        </w:rPr>
        <w:t>10 :</w:t>
      </w:r>
      <w:proofErr w:type="gramEnd"/>
      <w:r w:rsidRPr="00981466">
        <w:rPr>
          <w:b/>
          <w:sz w:val="24"/>
          <w:szCs w:val="24"/>
        </w:rPr>
        <w:t xml:space="preserve"> General Disclosures for Exposures Related to Counterparty Credit Risk</w:t>
      </w:r>
    </w:p>
    <w:p w14:paraId="59B440A7" w14:textId="77777777" w:rsidR="004C1CA7" w:rsidRPr="00981466" w:rsidRDefault="004C1CA7" w:rsidP="004C1CA7">
      <w:pPr>
        <w:ind w:left="630"/>
        <w:jc w:val="both"/>
        <w:rPr>
          <w:sz w:val="24"/>
          <w:szCs w:val="24"/>
        </w:rPr>
      </w:pPr>
      <w:r w:rsidRPr="00981466">
        <w:rPr>
          <w:sz w:val="24"/>
          <w:szCs w:val="24"/>
        </w:rPr>
        <w:t xml:space="preserve">Counterparty Credit Risk (CCR) limits are set within the context of established lending criteria and guidelines for individual borrowers, particular industries, and certain types of lending, to ensure the Bank does not have excessive concentration in any single borrower, or related group of borrowers, particular industry sector or geographic region. Bank ensures that applicable norms on exposure stipulated by RBI for both </w:t>
      </w:r>
      <w:proofErr w:type="gramStart"/>
      <w:r w:rsidRPr="00981466">
        <w:rPr>
          <w:sz w:val="24"/>
          <w:szCs w:val="24"/>
        </w:rPr>
        <w:t>fund</w:t>
      </w:r>
      <w:proofErr w:type="gramEnd"/>
      <w:r>
        <w:rPr>
          <w:sz w:val="24"/>
          <w:szCs w:val="24"/>
        </w:rPr>
        <w:t xml:space="preserve"> based</w:t>
      </w:r>
      <w:r w:rsidRPr="00981466">
        <w:rPr>
          <w:sz w:val="24"/>
          <w:szCs w:val="24"/>
        </w:rPr>
        <w:t xml:space="preserve"> and no-fund based products are complied with. CCR limits are set on the amount and tenor while fixing the limits to respective counterparties with distinct limits for each type of exposure. The utilization against sanctioned limit is monitored regularly. Analysis of composition of the portfolio is presented to the Risk Management Committee on a quarterly basis.</w:t>
      </w:r>
    </w:p>
    <w:p w14:paraId="73213C4D" w14:textId="77777777" w:rsidR="004C1CA7" w:rsidRPr="00981466" w:rsidRDefault="004C1CA7" w:rsidP="004C1CA7">
      <w:pPr>
        <w:ind w:left="630"/>
        <w:rPr>
          <w:b/>
          <w:sz w:val="24"/>
          <w:szCs w:val="24"/>
        </w:rPr>
      </w:pPr>
    </w:p>
    <w:p w14:paraId="5D135CEB" w14:textId="77777777" w:rsidR="004C1CA7" w:rsidRPr="00981466" w:rsidRDefault="004C1CA7" w:rsidP="004C1CA7">
      <w:pPr>
        <w:ind w:left="630"/>
        <w:jc w:val="both"/>
        <w:rPr>
          <w:sz w:val="24"/>
          <w:szCs w:val="24"/>
        </w:rPr>
      </w:pPr>
      <w:r w:rsidRPr="00981466">
        <w:rPr>
          <w:sz w:val="24"/>
          <w:szCs w:val="24"/>
        </w:rPr>
        <w:t xml:space="preserve">Bank engages in collateralised borrowing from Reserve Bank of India and Clearing Corporation of India Ltd (CCIL) against Government of India securities/ Treasury Bills where, haircut is stipulated based on maturity of the instrument and does not depend on the credit rating of the borrower. </w:t>
      </w:r>
      <w:proofErr w:type="gramStart"/>
      <w:r w:rsidRPr="00981466">
        <w:rPr>
          <w:sz w:val="24"/>
          <w:szCs w:val="24"/>
        </w:rPr>
        <w:t>Also</w:t>
      </w:r>
      <w:proofErr w:type="gramEnd"/>
      <w:r w:rsidRPr="00981466">
        <w:rPr>
          <w:sz w:val="24"/>
          <w:szCs w:val="24"/>
        </w:rPr>
        <w:t xml:space="preserve"> the Bank does not deal in derivatives which, requires Bank to post additional collateral in case of a downgrade. Hence Bank’s credit rating downgrade will not impact the collateralised borrowing operations.</w:t>
      </w:r>
    </w:p>
    <w:p w14:paraId="4AE08274" w14:textId="77777777" w:rsidR="004C1CA7" w:rsidRPr="00981466" w:rsidRDefault="004C1CA7" w:rsidP="004C1CA7">
      <w:pPr>
        <w:rPr>
          <w:b/>
          <w:sz w:val="24"/>
          <w:szCs w:val="24"/>
        </w:rPr>
      </w:pPr>
    </w:p>
    <w:p w14:paraId="21F9893D" w14:textId="77777777" w:rsidR="004C1CA7" w:rsidRDefault="004C1CA7" w:rsidP="004C1CA7">
      <w:pPr>
        <w:ind w:left="576" w:right="-90"/>
        <w:rPr>
          <w:b/>
          <w:sz w:val="24"/>
          <w:szCs w:val="24"/>
        </w:rPr>
      </w:pPr>
      <w:r w:rsidRPr="00981466">
        <w:rPr>
          <w:b/>
          <w:sz w:val="24"/>
          <w:szCs w:val="24"/>
        </w:rPr>
        <w:t xml:space="preserve">  Quantitative Disclosures                                                                                     </w:t>
      </w:r>
    </w:p>
    <w:p w14:paraId="7D12AE9E" w14:textId="77777777" w:rsidR="004C1CA7" w:rsidRPr="00063AA7" w:rsidRDefault="004C1CA7" w:rsidP="004C1CA7">
      <w:pPr>
        <w:ind w:left="8064" w:right="-90" w:firstLine="288"/>
        <w:rPr>
          <w:color w:val="000000"/>
          <w:sz w:val="24"/>
          <w:szCs w:val="24"/>
          <w:lang w:val="en-CA" w:eastAsia="en-CA"/>
        </w:rPr>
      </w:pPr>
      <w:r>
        <w:rPr>
          <w:b/>
          <w:sz w:val="24"/>
          <w:szCs w:val="24"/>
        </w:rPr>
        <w:t xml:space="preserve"> </w:t>
      </w:r>
      <w:r w:rsidRPr="00981466">
        <w:rPr>
          <w:b/>
          <w:sz w:val="24"/>
          <w:szCs w:val="24"/>
        </w:rPr>
        <w:t xml:space="preserve"> </w:t>
      </w:r>
      <w:r w:rsidRPr="00981466">
        <w:rPr>
          <w:color w:val="000000"/>
          <w:sz w:val="24"/>
          <w:szCs w:val="24"/>
          <w:lang w:val="en-CA" w:eastAsia="en-CA"/>
        </w:rPr>
        <w:t>(In Rs.000’s)</w:t>
      </w:r>
    </w:p>
    <w:tbl>
      <w:tblPr>
        <w:tblStyle w:val="TableGrid"/>
        <w:tblW w:w="0" w:type="auto"/>
        <w:tblInd w:w="828" w:type="dxa"/>
        <w:tblLook w:val="04A0" w:firstRow="1" w:lastRow="0" w:firstColumn="1" w:lastColumn="0" w:noHBand="0" w:noVBand="1"/>
      </w:tblPr>
      <w:tblGrid>
        <w:gridCol w:w="7358"/>
        <w:gridCol w:w="1524"/>
      </w:tblGrid>
      <w:tr w:rsidR="004C1CA7" w14:paraId="27D39331" w14:textId="77777777" w:rsidTr="00040726">
        <w:tc>
          <w:tcPr>
            <w:tcW w:w="7470" w:type="dxa"/>
            <w:vAlign w:val="bottom"/>
          </w:tcPr>
          <w:p w14:paraId="50C1CBD9" w14:textId="77777777" w:rsidR="004C1CA7" w:rsidRPr="00981466" w:rsidRDefault="004C1CA7" w:rsidP="00040726">
            <w:pPr>
              <w:overflowPunct/>
              <w:autoSpaceDE/>
              <w:autoSpaceDN/>
              <w:adjustRightInd/>
              <w:textAlignment w:val="auto"/>
              <w:rPr>
                <w:b/>
                <w:bCs/>
                <w:color w:val="000000"/>
                <w:sz w:val="24"/>
                <w:szCs w:val="24"/>
                <w:lang w:val="en-CA"/>
              </w:rPr>
            </w:pPr>
            <w:r w:rsidRPr="00981466">
              <w:rPr>
                <w:b/>
                <w:bCs/>
                <w:color w:val="000000"/>
                <w:sz w:val="24"/>
                <w:szCs w:val="24"/>
                <w:lang w:val="en-CA"/>
              </w:rPr>
              <w:t>Particulars</w:t>
            </w:r>
          </w:p>
        </w:tc>
        <w:tc>
          <w:tcPr>
            <w:tcW w:w="1530" w:type="dxa"/>
            <w:vAlign w:val="bottom"/>
          </w:tcPr>
          <w:p w14:paraId="35B625C4" w14:textId="77777777" w:rsidR="004C1CA7" w:rsidRPr="00981466" w:rsidRDefault="004C1CA7" w:rsidP="00040726">
            <w:pPr>
              <w:overflowPunct/>
              <w:autoSpaceDE/>
              <w:autoSpaceDN/>
              <w:adjustRightInd/>
              <w:jc w:val="center"/>
              <w:textAlignment w:val="auto"/>
              <w:rPr>
                <w:b/>
                <w:bCs/>
                <w:color w:val="000000"/>
                <w:sz w:val="24"/>
                <w:szCs w:val="24"/>
                <w:lang w:val="en-CA"/>
              </w:rPr>
            </w:pPr>
            <w:r w:rsidRPr="00981466">
              <w:rPr>
                <w:b/>
                <w:bCs/>
                <w:color w:val="000000"/>
                <w:sz w:val="24"/>
                <w:szCs w:val="24"/>
                <w:lang w:val="en-CA"/>
              </w:rPr>
              <w:t xml:space="preserve">As at </w:t>
            </w:r>
            <w:r w:rsidRPr="00981466">
              <w:rPr>
                <w:b/>
                <w:sz w:val="24"/>
                <w:szCs w:val="24"/>
              </w:rPr>
              <w:t xml:space="preserve">31 March </w:t>
            </w:r>
            <w:r>
              <w:rPr>
                <w:b/>
                <w:sz w:val="24"/>
                <w:szCs w:val="24"/>
              </w:rPr>
              <w:t>2021</w:t>
            </w:r>
          </w:p>
        </w:tc>
      </w:tr>
      <w:tr w:rsidR="004C1CA7" w14:paraId="374D97F9" w14:textId="77777777" w:rsidTr="00040726">
        <w:tc>
          <w:tcPr>
            <w:tcW w:w="7470" w:type="dxa"/>
            <w:vAlign w:val="bottom"/>
          </w:tcPr>
          <w:p w14:paraId="7AC2811C" w14:textId="77777777" w:rsidR="004C1CA7" w:rsidRPr="00981466" w:rsidRDefault="004C1CA7" w:rsidP="00040726">
            <w:pPr>
              <w:overflowPunct/>
              <w:autoSpaceDE/>
              <w:autoSpaceDN/>
              <w:adjustRightInd/>
              <w:textAlignment w:val="auto"/>
              <w:rPr>
                <w:color w:val="000000"/>
                <w:sz w:val="24"/>
                <w:szCs w:val="24"/>
                <w:lang w:val="en-CA"/>
              </w:rPr>
            </w:pPr>
            <w:r w:rsidRPr="00981466">
              <w:rPr>
                <w:color w:val="000000"/>
                <w:sz w:val="24"/>
                <w:szCs w:val="24"/>
                <w:lang w:val="en-CA"/>
              </w:rPr>
              <w:t>Gross positive fair value of contracts</w:t>
            </w:r>
          </w:p>
        </w:tc>
        <w:tc>
          <w:tcPr>
            <w:tcW w:w="1530" w:type="dxa"/>
            <w:vAlign w:val="bottom"/>
          </w:tcPr>
          <w:p w14:paraId="12E005DD" w14:textId="77777777" w:rsidR="004C1CA7" w:rsidRPr="00981466" w:rsidRDefault="004C1CA7" w:rsidP="00040726">
            <w:pPr>
              <w:overflowPunct/>
              <w:autoSpaceDE/>
              <w:autoSpaceDN/>
              <w:adjustRightInd/>
              <w:jc w:val="right"/>
              <w:textAlignment w:val="auto"/>
              <w:rPr>
                <w:color w:val="000000"/>
                <w:sz w:val="24"/>
                <w:szCs w:val="24"/>
                <w:lang w:val="en-CA"/>
              </w:rPr>
            </w:pPr>
            <w:r>
              <w:rPr>
                <w:color w:val="000000"/>
                <w:sz w:val="24"/>
                <w:szCs w:val="24"/>
                <w:lang w:val="en-CA"/>
              </w:rPr>
              <w:t>1,098,258</w:t>
            </w:r>
          </w:p>
        </w:tc>
      </w:tr>
      <w:tr w:rsidR="004C1CA7" w14:paraId="01A5A437" w14:textId="77777777" w:rsidTr="00040726">
        <w:trPr>
          <w:trHeight w:val="314"/>
        </w:trPr>
        <w:tc>
          <w:tcPr>
            <w:tcW w:w="7470" w:type="dxa"/>
            <w:vAlign w:val="bottom"/>
          </w:tcPr>
          <w:p w14:paraId="36CBF723" w14:textId="77777777" w:rsidR="004C1CA7" w:rsidRPr="00981466" w:rsidRDefault="004C1CA7" w:rsidP="00040726">
            <w:pPr>
              <w:overflowPunct/>
              <w:autoSpaceDE/>
              <w:autoSpaceDN/>
              <w:adjustRightInd/>
              <w:textAlignment w:val="auto"/>
              <w:rPr>
                <w:color w:val="000000"/>
                <w:sz w:val="24"/>
                <w:szCs w:val="24"/>
                <w:lang w:val="en-CA"/>
              </w:rPr>
            </w:pPr>
            <w:r w:rsidRPr="00981466">
              <w:rPr>
                <w:color w:val="000000"/>
                <w:sz w:val="24"/>
                <w:szCs w:val="24"/>
                <w:lang w:val="en-CA"/>
              </w:rPr>
              <w:t>Netting benefits</w:t>
            </w:r>
          </w:p>
        </w:tc>
        <w:tc>
          <w:tcPr>
            <w:tcW w:w="1530" w:type="dxa"/>
            <w:vAlign w:val="bottom"/>
          </w:tcPr>
          <w:p w14:paraId="49D4BEB9" w14:textId="77777777" w:rsidR="004C1CA7" w:rsidRPr="00981466" w:rsidRDefault="004C1CA7" w:rsidP="00040726">
            <w:pPr>
              <w:overflowPunct/>
              <w:autoSpaceDE/>
              <w:autoSpaceDN/>
              <w:adjustRightInd/>
              <w:jc w:val="right"/>
              <w:textAlignment w:val="auto"/>
              <w:rPr>
                <w:color w:val="000000"/>
                <w:sz w:val="24"/>
                <w:szCs w:val="24"/>
                <w:lang w:val="en-CA"/>
              </w:rPr>
            </w:pPr>
            <w:r w:rsidRPr="00981466">
              <w:rPr>
                <w:color w:val="000000"/>
                <w:sz w:val="24"/>
                <w:szCs w:val="24"/>
                <w:lang w:val="en-CA"/>
              </w:rPr>
              <w:t xml:space="preserve">     </w:t>
            </w:r>
            <w:r>
              <w:rPr>
                <w:color w:val="000000"/>
                <w:sz w:val="24"/>
                <w:szCs w:val="24"/>
                <w:lang w:val="en-CA"/>
              </w:rPr>
              <w:t xml:space="preserve">        </w:t>
            </w:r>
            <w:r w:rsidRPr="00981466">
              <w:rPr>
                <w:color w:val="000000"/>
                <w:sz w:val="24"/>
                <w:szCs w:val="24"/>
                <w:lang w:val="en-CA"/>
              </w:rPr>
              <w:t xml:space="preserve">-   </w:t>
            </w:r>
          </w:p>
        </w:tc>
      </w:tr>
      <w:tr w:rsidR="004C1CA7" w14:paraId="5E495282" w14:textId="77777777" w:rsidTr="00040726">
        <w:trPr>
          <w:trHeight w:val="278"/>
        </w:trPr>
        <w:tc>
          <w:tcPr>
            <w:tcW w:w="7470" w:type="dxa"/>
            <w:vAlign w:val="bottom"/>
          </w:tcPr>
          <w:p w14:paraId="4A997FC3" w14:textId="77777777" w:rsidR="004C1CA7" w:rsidRPr="00981466" w:rsidRDefault="004C1CA7" w:rsidP="00040726">
            <w:pPr>
              <w:overflowPunct/>
              <w:autoSpaceDE/>
              <w:autoSpaceDN/>
              <w:adjustRightInd/>
              <w:textAlignment w:val="auto"/>
              <w:rPr>
                <w:color w:val="000000"/>
                <w:sz w:val="24"/>
                <w:szCs w:val="24"/>
                <w:lang w:val="en-CA"/>
              </w:rPr>
            </w:pPr>
            <w:r w:rsidRPr="00981466">
              <w:rPr>
                <w:color w:val="000000"/>
                <w:sz w:val="24"/>
                <w:szCs w:val="24"/>
                <w:lang w:val="en-CA"/>
              </w:rPr>
              <w:t>Netted current credit exposure</w:t>
            </w:r>
          </w:p>
        </w:tc>
        <w:tc>
          <w:tcPr>
            <w:tcW w:w="1530" w:type="dxa"/>
            <w:vAlign w:val="bottom"/>
          </w:tcPr>
          <w:p w14:paraId="7DC73501" w14:textId="77777777" w:rsidR="004C1CA7" w:rsidRPr="00981466" w:rsidRDefault="004C1CA7" w:rsidP="00040726">
            <w:pPr>
              <w:overflowPunct/>
              <w:autoSpaceDE/>
              <w:autoSpaceDN/>
              <w:adjustRightInd/>
              <w:jc w:val="right"/>
              <w:textAlignment w:val="auto"/>
              <w:rPr>
                <w:color w:val="000000"/>
                <w:sz w:val="24"/>
                <w:szCs w:val="24"/>
                <w:lang w:val="en-CA"/>
              </w:rPr>
            </w:pPr>
            <w:r>
              <w:rPr>
                <w:color w:val="000000"/>
                <w:sz w:val="24"/>
                <w:szCs w:val="24"/>
                <w:lang w:val="en-CA"/>
              </w:rPr>
              <w:t>1,098,258</w:t>
            </w:r>
          </w:p>
        </w:tc>
      </w:tr>
      <w:tr w:rsidR="004C1CA7" w14:paraId="6CD1543C" w14:textId="77777777" w:rsidTr="00040726">
        <w:tc>
          <w:tcPr>
            <w:tcW w:w="7470" w:type="dxa"/>
            <w:vAlign w:val="bottom"/>
          </w:tcPr>
          <w:p w14:paraId="3DEF3BD7" w14:textId="77777777" w:rsidR="004C1CA7" w:rsidRPr="00981466" w:rsidRDefault="004C1CA7" w:rsidP="00040726">
            <w:pPr>
              <w:overflowPunct/>
              <w:autoSpaceDE/>
              <w:autoSpaceDN/>
              <w:adjustRightInd/>
              <w:textAlignment w:val="auto"/>
              <w:rPr>
                <w:color w:val="000000"/>
                <w:sz w:val="24"/>
                <w:szCs w:val="24"/>
                <w:lang w:val="en-CA"/>
              </w:rPr>
            </w:pPr>
            <w:r w:rsidRPr="00981466">
              <w:rPr>
                <w:color w:val="000000"/>
                <w:sz w:val="24"/>
                <w:szCs w:val="24"/>
                <w:lang w:val="en-CA"/>
              </w:rPr>
              <w:t>Collateral held</w:t>
            </w:r>
          </w:p>
        </w:tc>
        <w:tc>
          <w:tcPr>
            <w:tcW w:w="1530" w:type="dxa"/>
            <w:vAlign w:val="bottom"/>
          </w:tcPr>
          <w:p w14:paraId="1DD76F30" w14:textId="77777777" w:rsidR="004C1CA7" w:rsidRPr="00981466" w:rsidRDefault="004C1CA7" w:rsidP="00040726">
            <w:pPr>
              <w:overflowPunct/>
              <w:autoSpaceDE/>
              <w:autoSpaceDN/>
              <w:adjustRightInd/>
              <w:jc w:val="right"/>
              <w:textAlignment w:val="auto"/>
              <w:rPr>
                <w:color w:val="000000"/>
                <w:sz w:val="24"/>
                <w:szCs w:val="24"/>
                <w:lang w:val="en-CA"/>
              </w:rPr>
            </w:pPr>
            <w:r w:rsidRPr="00981466">
              <w:rPr>
                <w:color w:val="000000"/>
                <w:sz w:val="24"/>
                <w:szCs w:val="24"/>
                <w:lang w:val="en-CA"/>
              </w:rPr>
              <w:t xml:space="preserve">                -   </w:t>
            </w:r>
          </w:p>
        </w:tc>
      </w:tr>
      <w:tr w:rsidR="004C1CA7" w14:paraId="567E8FD1" w14:textId="77777777" w:rsidTr="00040726">
        <w:tc>
          <w:tcPr>
            <w:tcW w:w="7470" w:type="dxa"/>
            <w:vAlign w:val="bottom"/>
          </w:tcPr>
          <w:p w14:paraId="35996CCC" w14:textId="77777777" w:rsidR="004C1CA7" w:rsidRPr="00981466" w:rsidRDefault="004C1CA7" w:rsidP="00040726">
            <w:pPr>
              <w:overflowPunct/>
              <w:autoSpaceDE/>
              <w:autoSpaceDN/>
              <w:adjustRightInd/>
              <w:textAlignment w:val="auto"/>
              <w:rPr>
                <w:color w:val="000000"/>
                <w:sz w:val="24"/>
                <w:szCs w:val="24"/>
                <w:lang w:val="en-CA"/>
              </w:rPr>
            </w:pPr>
            <w:r w:rsidRPr="00981466">
              <w:rPr>
                <w:color w:val="000000"/>
                <w:sz w:val="24"/>
                <w:szCs w:val="24"/>
                <w:lang w:val="en-CA"/>
              </w:rPr>
              <w:t>Net derivatives current credit exposure</w:t>
            </w:r>
          </w:p>
        </w:tc>
        <w:tc>
          <w:tcPr>
            <w:tcW w:w="1530" w:type="dxa"/>
            <w:vAlign w:val="bottom"/>
          </w:tcPr>
          <w:p w14:paraId="59EF9045" w14:textId="77777777" w:rsidR="004C1CA7" w:rsidRPr="00981466" w:rsidRDefault="004C1CA7" w:rsidP="00040726">
            <w:pPr>
              <w:overflowPunct/>
              <w:autoSpaceDE/>
              <w:autoSpaceDN/>
              <w:adjustRightInd/>
              <w:jc w:val="right"/>
              <w:textAlignment w:val="auto"/>
              <w:rPr>
                <w:color w:val="000000"/>
                <w:sz w:val="24"/>
                <w:szCs w:val="24"/>
                <w:lang w:val="en-CA"/>
              </w:rPr>
            </w:pPr>
            <w:r>
              <w:rPr>
                <w:color w:val="000000"/>
                <w:sz w:val="24"/>
                <w:szCs w:val="24"/>
                <w:lang w:val="en-CA"/>
              </w:rPr>
              <w:t>1,098,258</w:t>
            </w:r>
          </w:p>
        </w:tc>
      </w:tr>
      <w:tr w:rsidR="004C1CA7" w14:paraId="0AE5587C" w14:textId="77777777" w:rsidTr="00040726">
        <w:tc>
          <w:tcPr>
            <w:tcW w:w="7470" w:type="dxa"/>
            <w:vAlign w:val="bottom"/>
          </w:tcPr>
          <w:p w14:paraId="50601C37" w14:textId="77777777" w:rsidR="004C1CA7" w:rsidRPr="00981466" w:rsidRDefault="004C1CA7" w:rsidP="00040726">
            <w:pPr>
              <w:overflowPunct/>
              <w:autoSpaceDE/>
              <w:autoSpaceDN/>
              <w:adjustRightInd/>
              <w:textAlignment w:val="auto"/>
              <w:rPr>
                <w:color w:val="000000"/>
                <w:sz w:val="24"/>
                <w:szCs w:val="24"/>
                <w:lang w:val="en-CA"/>
              </w:rPr>
            </w:pPr>
            <w:r w:rsidRPr="00981466">
              <w:rPr>
                <w:color w:val="000000"/>
                <w:sz w:val="24"/>
                <w:szCs w:val="24"/>
                <w:lang w:val="en-CA"/>
              </w:rPr>
              <w:t>Potential Future Exposure (PFE)</w:t>
            </w:r>
          </w:p>
        </w:tc>
        <w:tc>
          <w:tcPr>
            <w:tcW w:w="1530" w:type="dxa"/>
            <w:vAlign w:val="bottom"/>
          </w:tcPr>
          <w:p w14:paraId="12275B46" w14:textId="77777777" w:rsidR="004C1CA7" w:rsidRPr="00981466" w:rsidRDefault="004C1CA7" w:rsidP="00040726">
            <w:pPr>
              <w:overflowPunct/>
              <w:autoSpaceDE/>
              <w:autoSpaceDN/>
              <w:adjustRightInd/>
              <w:jc w:val="right"/>
              <w:textAlignment w:val="auto"/>
              <w:rPr>
                <w:color w:val="000000"/>
                <w:sz w:val="24"/>
                <w:szCs w:val="24"/>
                <w:lang w:val="en-CA"/>
              </w:rPr>
            </w:pPr>
            <w:r>
              <w:rPr>
                <w:color w:val="000000"/>
                <w:sz w:val="24"/>
                <w:szCs w:val="24"/>
                <w:lang w:val="en-CA"/>
              </w:rPr>
              <w:t>3,938,915</w:t>
            </w:r>
          </w:p>
        </w:tc>
      </w:tr>
      <w:tr w:rsidR="004C1CA7" w14:paraId="6C937DA3" w14:textId="77777777" w:rsidTr="00040726">
        <w:tc>
          <w:tcPr>
            <w:tcW w:w="7470" w:type="dxa"/>
            <w:vAlign w:val="bottom"/>
          </w:tcPr>
          <w:p w14:paraId="1B804E89" w14:textId="77777777" w:rsidR="004C1CA7" w:rsidRPr="00981466" w:rsidRDefault="004C1CA7" w:rsidP="00040726">
            <w:pPr>
              <w:overflowPunct/>
              <w:autoSpaceDE/>
              <w:autoSpaceDN/>
              <w:adjustRightInd/>
              <w:textAlignment w:val="auto"/>
              <w:rPr>
                <w:color w:val="000000"/>
                <w:sz w:val="24"/>
                <w:szCs w:val="24"/>
                <w:lang w:val="en-CA"/>
              </w:rPr>
            </w:pPr>
            <w:r w:rsidRPr="00981466">
              <w:rPr>
                <w:color w:val="000000"/>
                <w:sz w:val="24"/>
                <w:szCs w:val="24"/>
                <w:lang w:val="en-CA"/>
              </w:rPr>
              <w:t>Measures for exposure at default, or exposure amount, under CEM</w:t>
            </w:r>
          </w:p>
        </w:tc>
        <w:tc>
          <w:tcPr>
            <w:tcW w:w="1530" w:type="dxa"/>
            <w:vAlign w:val="bottom"/>
          </w:tcPr>
          <w:p w14:paraId="2451AE2B" w14:textId="77777777" w:rsidR="004C1CA7" w:rsidRPr="00981466" w:rsidRDefault="004C1CA7" w:rsidP="00040726">
            <w:pPr>
              <w:overflowPunct/>
              <w:autoSpaceDE/>
              <w:autoSpaceDN/>
              <w:adjustRightInd/>
              <w:jc w:val="right"/>
              <w:textAlignment w:val="auto"/>
              <w:rPr>
                <w:color w:val="000000"/>
                <w:sz w:val="24"/>
                <w:szCs w:val="24"/>
                <w:lang w:val="en-CA"/>
              </w:rPr>
            </w:pPr>
            <w:r>
              <w:rPr>
                <w:color w:val="000000"/>
                <w:sz w:val="24"/>
                <w:szCs w:val="24"/>
                <w:lang w:val="en-CA"/>
              </w:rPr>
              <w:t>5,037,174</w:t>
            </w:r>
          </w:p>
        </w:tc>
      </w:tr>
      <w:tr w:rsidR="004C1CA7" w14:paraId="4643D882" w14:textId="77777777" w:rsidTr="00040726">
        <w:tc>
          <w:tcPr>
            <w:tcW w:w="7470" w:type="dxa"/>
            <w:vAlign w:val="bottom"/>
          </w:tcPr>
          <w:p w14:paraId="7147C422" w14:textId="77777777" w:rsidR="004C1CA7" w:rsidRPr="00981466" w:rsidRDefault="004C1CA7" w:rsidP="00040726">
            <w:pPr>
              <w:overflowPunct/>
              <w:autoSpaceDE/>
              <w:autoSpaceDN/>
              <w:adjustRightInd/>
              <w:textAlignment w:val="auto"/>
              <w:rPr>
                <w:color w:val="000000"/>
                <w:sz w:val="24"/>
                <w:szCs w:val="24"/>
                <w:lang w:val="en-CA"/>
              </w:rPr>
            </w:pPr>
            <w:r w:rsidRPr="00981466">
              <w:rPr>
                <w:color w:val="000000"/>
                <w:sz w:val="24"/>
                <w:szCs w:val="24"/>
                <w:lang w:val="en-CA"/>
              </w:rPr>
              <w:t>Notional value of credit derivative hedges</w:t>
            </w:r>
          </w:p>
        </w:tc>
        <w:tc>
          <w:tcPr>
            <w:tcW w:w="1530" w:type="dxa"/>
            <w:vAlign w:val="bottom"/>
          </w:tcPr>
          <w:p w14:paraId="693C382C" w14:textId="77777777" w:rsidR="004C1CA7" w:rsidRPr="00981466" w:rsidRDefault="004C1CA7" w:rsidP="00040726">
            <w:pPr>
              <w:overflowPunct/>
              <w:autoSpaceDE/>
              <w:autoSpaceDN/>
              <w:adjustRightInd/>
              <w:jc w:val="right"/>
              <w:textAlignment w:val="auto"/>
              <w:rPr>
                <w:color w:val="000000"/>
                <w:sz w:val="24"/>
                <w:szCs w:val="24"/>
                <w:lang w:val="en-CA"/>
              </w:rPr>
            </w:pPr>
            <w:r w:rsidRPr="00981466">
              <w:rPr>
                <w:color w:val="000000"/>
                <w:sz w:val="24"/>
                <w:szCs w:val="24"/>
                <w:lang w:val="en-CA"/>
              </w:rPr>
              <w:t xml:space="preserve">     </w:t>
            </w:r>
            <w:r>
              <w:rPr>
                <w:color w:val="000000"/>
                <w:sz w:val="24"/>
                <w:szCs w:val="24"/>
                <w:lang w:val="en-CA"/>
              </w:rPr>
              <w:t xml:space="preserve">      </w:t>
            </w:r>
            <w:r w:rsidRPr="00981466">
              <w:rPr>
                <w:color w:val="000000"/>
                <w:sz w:val="24"/>
                <w:szCs w:val="24"/>
                <w:lang w:val="en-CA"/>
              </w:rPr>
              <w:t xml:space="preserve">-   </w:t>
            </w:r>
          </w:p>
        </w:tc>
      </w:tr>
      <w:tr w:rsidR="004C1CA7" w14:paraId="6E836C76" w14:textId="77777777" w:rsidTr="00040726">
        <w:tc>
          <w:tcPr>
            <w:tcW w:w="7470" w:type="dxa"/>
            <w:vAlign w:val="bottom"/>
          </w:tcPr>
          <w:p w14:paraId="33D5DBFA" w14:textId="77777777" w:rsidR="004C1CA7" w:rsidRPr="00981466" w:rsidRDefault="004C1CA7" w:rsidP="00040726">
            <w:pPr>
              <w:overflowPunct/>
              <w:autoSpaceDE/>
              <w:autoSpaceDN/>
              <w:adjustRightInd/>
              <w:textAlignment w:val="auto"/>
              <w:rPr>
                <w:color w:val="000000"/>
                <w:sz w:val="24"/>
                <w:szCs w:val="24"/>
                <w:lang w:val="en-CA"/>
              </w:rPr>
            </w:pPr>
            <w:r w:rsidRPr="00981466">
              <w:rPr>
                <w:color w:val="000000"/>
                <w:sz w:val="24"/>
                <w:szCs w:val="24"/>
                <w:lang w:val="en-CA"/>
              </w:rPr>
              <w:t>Distribution of current credit exposure by types of credit exposure</w:t>
            </w:r>
          </w:p>
        </w:tc>
        <w:tc>
          <w:tcPr>
            <w:tcW w:w="1530" w:type="dxa"/>
            <w:vAlign w:val="bottom"/>
          </w:tcPr>
          <w:p w14:paraId="2E64DD1D" w14:textId="77777777" w:rsidR="004C1CA7" w:rsidRPr="00981466" w:rsidRDefault="004C1CA7" w:rsidP="00040726">
            <w:pPr>
              <w:overflowPunct/>
              <w:autoSpaceDE/>
              <w:autoSpaceDN/>
              <w:adjustRightInd/>
              <w:jc w:val="right"/>
              <w:textAlignment w:val="auto"/>
              <w:rPr>
                <w:color w:val="000000"/>
                <w:sz w:val="24"/>
                <w:szCs w:val="24"/>
                <w:lang w:val="en-CA"/>
              </w:rPr>
            </w:pPr>
            <w:r w:rsidRPr="00981466">
              <w:rPr>
                <w:color w:val="000000"/>
                <w:sz w:val="24"/>
                <w:szCs w:val="24"/>
                <w:lang w:val="en-CA"/>
              </w:rPr>
              <w:t> </w:t>
            </w:r>
          </w:p>
        </w:tc>
      </w:tr>
      <w:tr w:rsidR="004C1CA7" w14:paraId="56F22BFF" w14:textId="77777777" w:rsidTr="00040726">
        <w:trPr>
          <w:trHeight w:val="359"/>
        </w:trPr>
        <w:tc>
          <w:tcPr>
            <w:tcW w:w="7470" w:type="dxa"/>
            <w:vAlign w:val="bottom"/>
          </w:tcPr>
          <w:p w14:paraId="42E4DD48" w14:textId="77777777" w:rsidR="004C1CA7" w:rsidRPr="00981466" w:rsidRDefault="004C1CA7" w:rsidP="00040726">
            <w:pPr>
              <w:overflowPunct/>
              <w:autoSpaceDE/>
              <w:autoSpaceDN/>
              <w:adjustRightInd/>
              <w:textAlignment w:val="auto"/>
              <w:rPr>
                <w:color w:val="000000"/>
                <w:sz w:val="24"/>
                <w:szCs w:val="24"/>
                <w:lang w:val="en-CA"/>
              </w:rPr>
            </w:pPr>
            <w:r w:rsidRPr="00981466">
              <w:rPr>
                <w:color w:val="000000"/>
                <w:sz w:val="24"/>
                <w:szCs w:val="24"/>
                <w:lang w:val="en-CA"/>
              </w:rPr>
              <w:t>Current credit exposure-Interest Rates</w:t>
            </w:r>
          </w:p>
        </w:tc>
        <w:tc>
          <w:tcPr>
            <w:tcW w:w="1530" w:type="dxa"/>
            <w:vAlign w:val="bottom"/>
          </w:tcPr>
          <w:p w14:paraId="6109FB15" w14:textId="77777777" w:rsidR="004C1CA7" w:rsidRPr="00981466" w:rsidRDefault="004C1CA7" w:rsidP="00040726">
            <w:pPr>
              <w:overflowPunct/>
              <w:autoSpaceDE/>
              <w:autoSpaceDN/>
              <w:adjustRightInd/>
              <w:jc w:val="right"/>
              <w:textAlignment w:val="auto"/>
              <w:rPr>
                <w:color w:val="000000"/>
                <w:sz w:val="24"/>
                <w:szCs w:val="24"/>
                <w:lang w:val="en-CA"/>
              </w:rPr>
            </w:pPr>
            <w:r>
              <w:rPr>
                <w:color w:val="000000"/>
                <w:sz w:val="24"/>
                <w:szCs w:val="24"/>
                <w:lang w:val="en-CA"/>
              </w:rPr>
              <w:t>-</w:t>
            </w:r>
          </w:p>
        </w:tc>
      </w:tr>
      <w:tr w:rsidR="004C1CA7" w14:paraId="3D478D41" w14:textId="77777777" w:rsidTr="00040726">
        <w:tc>
          <w:tcPr>
            <w:tcW w:w="7470" w:type="dxa"/>
            <w:vAlign w:val="bottom"/>
          </w:tcPr>
          <w:p w14:paraId="238EA789" w14:textId="77777777" w:rsidR="004C1CA7" w:rsidRPr="00981466" w:rsidRDefault="004C1CA7" w:rsidP="00040726">
            <w:pPr>
              <w:overflowPunct/>
              <w:autoSpaceDE/>
              <w:autoSpaceDN/>
              <w:adjustRightInd/>
              <w:textAlignment w:val="auto"/>
              <w:rPr>
                <w:color w:val="000000"/>
                <w:sz w:val="24"/>
                <w:szCs w:val="24"/>
                <w:lang w:val="en-CA"/>
              </w:rPr>
            </w:pPr>
            <w:r w:rsidRPr="00981466">
              <w:rPr>
                <w:color w:val="000000"/>
                <w:sz w:val="24"/>
                <w:szCs w:val="24"/>
                <w:lang w:val="en-CA"/>
              </w:rPr>
              <w:t>Current credit exposure-Forex</w:t>
            </w:r>
          </w:p>
        </w:tc>
        <w:tc>
          <w:tcPr>
            <w:tcW w:w="1530" w:type="dxa"/>
            <w:vAlign w:val="bottom"/>
          </w:tcPr>
          <w:p w14:paraId="32BDFAB4" w14:textId="77777777" w:rsidR="004C1CA7" w:rsidRPr="00981466" w:rsidRDefault="004C1CA7" w:rsidP="00040726">
            <w:pPr>
              <w:overflowPunct/>
              <w:autoSpaceDE/>
              <w:autoSpaceDN/>
              <w:adjustRightInd/>
              <w:jc w:val="right"/>
              <w:textAlignment w:val="auto"/>
              <w:rPr>
                <w:color w:val="000000"/>
                <w:sz w:val="24"/>
                <w:szCs w:val="24"/>
                <w:lang w:val="en-CA"/>
              </w:rPr>
            </w:pPr>
            <w:r>
              <w:rPr>
                <w:color w:val="000000"/>
                <w:sz w:val="24"/>
                <w:szCs w:val="24"/>
                <w:lang w:val="en-CA"/>
              </w:rPr>
              <w:t>1,098,258</w:t>
            </w:r>
          </w:p>
        </w:tc>
      </w:tr>
    </w:tbl>
    <w:p w14:paraId="7D02C37C" w14:textId="77777777" w:rsidR="004C1CA7" w:rsidRDefault="004C1CA7" w:rsidP="004C1CA7">
      <w:pPr>
        <w:overflowPunct/>
        <w:autoSpaceDE/>
        <w:autoSpaceDN/>
        <w:adjustRightInd/>
        <w:textAlignment w:val="auto"/>
        <w:rPr>
          <w:b/>
          <w:sz w:val="24"/>
          <w:szCs w:val="24"/>
        </w:rPr>
      </w:pPr>
    </w:p>
    <w:p w14:paraId="6E127A2F" w14:textId="1027C431" w:rsidR="004C1CA7" w:rsidRDefault="004C1CA7" w:rsidP="004C1CA7">
      <w:pPr>
        <w:overflowPunct/>
        <w:autoSpaceDE/>
        <w:autoSpaceDN/>
        <w:adjustRightInd/>
        <w:textAlignment w:val="auto"/>
        <w:rPr>
          <w:b/>
          <w:sz w:val="24"/>
          <w:szCs w:val="24"/>
        </w:rPr>
      </w:pPr>
    </w:p>
    <w:p w14:paraId="609E487E" w14:textId="334FF6ED" w:rsidR="003052AF" w:rsidRDefault="003052AF" w:rsidP="004C1CA7">
      <w:pPr>
        <w:overflowPunct/>
        <w:autoSpaceDE/>
        <w:autoSpaceDN/>
        <w:adjustRightInd/>
        <w:textAlignment w:val="auto"/>
        <w:rPr>
          <w:b/>
          <w:sz w:val="24"/>
          <w:szCs w:val="24"/>
        </w:rPr>
      </w:pPr>
    </w:p>
    <w:p w14:paraId="1DC0B665" w14:textId="0522016F" w:rsidR="003052AF" w:rsidRDefault="003052AF" w:rsidP="004C1CA7">
      <w:pPr>
        <w:overflowPunct/>
        <w:autoSpaceDE/>
        <w:autoSpaceDN/>
        <w:adjustRightInd/>
        <w:textAlignment w:val="auto"/>
        <w:rPr>
          <w:b/>
          <w:sz w:val="24"/>
          <w:szCs w:val="24"/>
        </w:rPr>
      </w:pPr>
    </w:p>
    <w:p w14:paraId="049DB068" w14:textId="77777777" w:rsidR="003052AF" w:rsidRPr="00981466" w:rsidRDefault="003052AF" w:rsidP="004C1CA7">
      <w:pPr>
        <w:overflowPunct/>
        <w:autoSpaceDE/>
        <w:autoSpaceDN/>
        <w:adjustRightInd/>
        <w:textAlignment w:val="auto"/>
        <w:rPr>
          <w:b/>
          <w:sz w:val="24"/>
          <w:szCs w:val="24"/>
        </w:rPr>
      </w:pPr>
    </w:p>
    <w:p w14:paraId="55E64CF1" w14:textId="77777777" w:rsidR="004C1CA7" w:rsidRPr="00981466" w:rsidRDefault="004C1CA7" w:rsidP="004C1CA7">
      <w:pPr>
        <w:numPr>
          <w:ilvl w:val="0"/>
          <w:numId w:val="7"/>
        </w:numPr>
        <w:tabs>
          <w:tab w:val="clear" w:pos="1800"/>
          <w:tab w:val="num" w:pos="720"/>
        </w:tabs>
        <w:overflowPunct/>
        <w:autoSpaceDE/>
        <w:autoSpaceDN/>
        <w:adjustRightInd/>
        <w:ind w:left="720" w:hanging="720"/>
        <w:textAlignment w:val="auto"/>
        <w:rPr>
          <w:b/>
          <w:sz w:val="24"/>
          <w:szCs w:val="24"/>
        </w:rPr>
      </w:pPr>
      <w:r w:rsidRPr="00981466">
        <w:rPr>
          <w:b/>
          <w:sz w:val="24"/>
          <w:szCs w:val="24"/>
        </w:rPr>
        <w:t xml:space="preserve"> Composition of capital</w:t>
      </w:r>
    </w:p>
    <w:p w14:paraId="7F229ABB" w14:textId="77777777" w:rsidR="004C1CA7" w:rsidRPr="00981466" w:rsidRDefault="004C1CA7" w:rsidP="004C1CA7">
      <w:pPr>
        <w:rPr>
          <w:sz w:val="24"/>
          <w:szCs w:val="24"/>
        </w:rPr>
      </w:pPr>
      <w:r w:rsidRPr="00981466">
        <w:rPr>
          <w:b/>
          <w:sz w:val="24"/>
          <w:szCs w:val="24"/>
        </w:rPr>
        <w:tab/>
      </w:r>
      <w:r w:rsidRPr="00981466">
        <w:rPr>
          <w:sz w:val="24"/>
          <w:szCs w:val="24"/>
        </w:rPr>
        <w:tab/>
      </w:r>
    </w:p>
    <w:tbl>
      <w:tblPr>
        <w:tblW w:w="9640" w:type="dxa"/>
        <w:tblInd w:w="93" w:type="dxa"/>
        <w:tblLayout w:type="fixed"/>
        <w:tblLook w:val="04A0" w:firstRow="1" w:lastRow="0" w:firstColumn="1" w:lastColumn="0" w:noHBand="0" w:noVBand="1"/>
      </w:tblPr>
      <w:tblGrid>
        <w:gridCol w:w="645"/>
        <w:gridCol w:w="4860"/>
        <w:gridCol w:w="1350"/>
        <w:gridCol w:w="1350"/>
        <w:gridCol w:w="1435"/>
      </w:tblGrid>
      <w:tr w:rsidR="004C1CA7" w:rsidRPr="001D70E9" w14:paraId="515BA3AC" w14:textId="77777777" w:rsidTr="00040726">
        <w:trPr>
          <w:trHeight w:val="300"/>
        </w:trPr>
        <w:tc>
          <w:tcPr>
            <w:tcW w:w="96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D96E853" w14:textId="77777777" w:rsidR="004C1CA7" w:rsidRPr="001D70E9" w:rsidRDefault="004C1CA7" w:rsidP="00040726">
            <w:pPr>
              <w:overflowPunct/>
              <w:autoSpaceDE/>
              <w:autoSpaceDN/>
              <w:adjustRightInd/>
              <w:jc w:val="center"/>
              <w:textAlignment w:val="auto"/>
              <w:rPr>
                <w:b/>
                <w:bCs/>
                <w:color w:val="000000"/>
                <w:lang w:val="en-CA" w:eastAsia="en-CA"/>
              </w:rPr>
            </w:pPr>
            <w:r w:rsidRPr="001D70E9">
              <w:rPr>
                <w:b/>
                <w:bCs/>
                <w:color w:val="000000"/>
                <w:lang w:val="en-CA" w:eastAsia="en-CA"/>
              </w:rPr>
              <w:t>Table DF-</w:t>
            </w:r>
            <w:proofErr w:type="gramStart"/>
            <w:r w:rsidRPr="001D70E9">
              <w:rPr>
                <w:b/>
                <w:bCs/>
                <w:color w:val="000000"/>
                <w:lang w:val="en-CA" w:eastAsia="en-CA"/>
              </w:rPr>
              <w:t>11 :</w:t>
            </w:r>
            <w:proofErr w:type="gramEnd"/>
            <w:r w:rsidRPr="001D70E9">
              <w:rPr>
                <w:b/>
                <w:bCs/>
                <w:color w:val="000000"/>
                <w:lang w:val="en-CA" w:eastAsia="en-CA"/>
              </w:rPr>
              <w:t xml:space="preserve"> Composition of Capital</w:t>
            </w:r>
          </w:p>
        </w:tc>
      </w:tr>
      <w:tr w:rsidR="004C1CA7" w:rsidRPr="001D70E9" w14:paraId="5CF1315F" w14:textId="77777777" w:rsidTr="00040726">
        <w:trPr>
          <w:trHeight w:val="300"/>
        </w:trPr>
        <w:tc>
          <w:tcPr>
            <w:tcW w:w="96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3A2F080" w14:textId="77777777" w:rsidR="004C1CA7" w:rsidRPr="001D70E9" w:rsidRDefault="004C1CA7" w:rsidP="00040726">
            <w:pPr>
              <w:overflowPunct/>
              <w:autoSpaceDE/>
              <w:autoSpaceDN/>
              <w:adjustRightInd/>
              <w:jc w:val="center"/>
              <w:textAlignment w:val="auto"/>
              <w:rPr>
                <w:b/>
                <w:bCs/>
                <w:color w:val="000000"/>
                <w:lang w:val="en-CA" w:eastAsia="en-CA"/>
              </w:rPr>
            </w:pPr>
            <w:r w:rsidRPr="001D70E9">
              <w:rPr>
                <w:b/>
                <w:bCs/>
                <w:color w:val="000000"/>
                <w:lang w:val="en-CA" w:eastAsia="en-CA"/>
              </w:rPr>
              <w:t xml:space="preserve">Part </w:t>
            </w:r>
            <w:proofErr w:type="gramStart"/>
            <w:r w:rsidRPr="001D70E9">
              <w:rPr>
                <w:b/>
                <w:bCs/>
                <w:color w:val="000000"/>
                <w:lang w:val="en-CA" w:eastAsia="en-CA"/>
              </w:rPr>
              <w:t>II :</w:t>
            </w:r>
            <w:proofErr w:type="gramEnd"/>
            <w:r w:rsidRPr="001D70E9">
              <w:rPr>
                <w:b/>
                <w:bCs/>
                <w:color w:val="000000"/>
                <w:lang w:val="en-CA" w:eastAsia="en-CA"/>
              </w:rPr>
              <w:t xml:space="preserve"> Template to be used before </w:t>
            </w:r>
            <w:r w:rsidRPr="00977291">
              <w:rPr>
                <w:b/>
                <w:sz w:val="22"/>
                <w:szCs w:val="22"/>
              </w:rPr>
              <w:t xml:space="preserve">31 March </w:t>
            </w:r>
            <w:r>
              <w:rPr>
                <w:b/>
                <w:sz w:val="22"/>
                <w:szCs w:val="22"/>
              </w:rPr>
              <w:t>2021</w:t>
            </w:r>
          </w:p>
        </w:tc>
      </w:tr>
      <w:tr w:rsidR="004C1CA7" w:rsidRPr="001D70E9" w14:paraId="12268C5B" w14:textId="77777777" w:rsidTr="00040726">
        <w:trPr>
          <w:trHeight w:val="300"/>
        </w:trPr>
        <w:tc>
          <w:tcPr>
            <w:tcW w:w="96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BFFDF4E" w14:textId="77777777" w:rsidR="004C1CA7" w:rsidRPr="001D70E9" w:rsidRDefault="004C1CA7" w:rsidP="00040726">
            <w:pPr>
              <w:overflowPunct/>
              <w:autoSpaceDE/>
              <w:autoSpaceDN/>
              <w:adjustRightInd/>
              <w:jc w:val="center"/>
              <w:textAlignment w:val="auto"/>
              <w:rPr>
                <w:b/>
                <w:bCs/>
                <w:color w:val="000000"/>
                <w:lang w:val="en-CA" w:eastAsia="en-CA"/>
              </w:rPr>
            </w:pPr>
            <w:r w:rsidRPr="001D70E9">
              <w:rPr>
                <w:b/>
                <w:bCs/>
                <w:color w:val="000000"/>
                <w:lang w:val="en-CA" w:eastAsia="en-CA"/>
              </w:rPr>
              <w:t>(i.e. during the transition period of Basel III regulatory adjustments)</w:t>
            </w:r>
          </w:p>
        </w:tc>
      </w:tr>
      <w:tr w:rsidR="004C1CA7" w:rsidRPr="001D70E9" w14:paraId="04E0116A" w14:textId="77777777" w:rsidTr="00040726">
        <w:trPr>
          <w:trHeight w:val="315"/>
        </w:trPr>
        <w:tc>
          <w:tcPr>
            <w:tcW w:w="96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BE32A71" w14:textId="77777777" w:rsidR="004C1CA7" w:rsidRPr="001D70E9" w:rsidRDefault="004C1CA7" w:rsidP="00040726">
            <w:pPr>
              <w:overflowPunct/>
              <w:autoSpaceDE/>
              <w:autoSpaceDN/>
              <w:adjustRightInd/>
              <w:jc w:val="right"/>
              <w:textAlignment w:val="auto"/>
              <w:rPr>
                <w:b/>
                <w:bCs/>
                <w:color w:val="000000"/>
                <w:lang w:val="en-CA" w:eastAsia="en-CA"/>
              </w:rPr>
            </w:pPr>
            <w:r w:rsidRPr="001D70E9">
              <w:rPr>
                <w:b/>
                <w:bCs/>
                <w:color w:val="000000"/>
                <w:lang w:val="en-CA" w:eastAsia="en-CA"/>
              </w:rPr>
              <w:t>(In Rs. 000’s)</w:t>
            </w:r>
          </w:p>
        </w:tc>
      </w:tr>
      <w:tr w:rsidR="004C1CA7" w:rsidRPr="001D70E9" w14:paraId="3560C059" w14:textId="77777777" w:rsidTr="00040726">
        <w:trPr>
          <w:trHeight w:val="615"/>
        </w:trPr>
        <w:tc>
          <w:tcPr>
            <w:tcW w:w="68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08B367" w14:textId="77777777" w:rsidR="004C1CA7" w:rsidRPr="001D70E9" w:rsidRDefault="004C1CA7" w:rsidP="00040726">
            <w:pPr>
              <w:overflowPunct/>
              <w:autoSpaceDE/>
              <w:autoSpaceDN/>
              <w:adjustRightInd/>
              <w:jc w:val="center"/>
              <w:textAlignment w:val="auto"/>
              <w:rPr>
                <w:b/>
                <w:bCs/>
                <w:color w:val="000000"/>
                <w:sz w:val="24"/>
                <w:szCs w:val="24"/>
                <w:lang w:val="en-CA" w:eastAsia="en-CA"/>
              </w:rPr>
            </w:pPr>
            <w:r w:rsidRPr="001D70E9">
              <w:rPr>
                <w:b/>
                <w:bCs/>
                <w:color w:val="000000"/>
                <w:sz w:val="24"/>
                <w:szCs w:val="24"/>
                <w:lang w:val="en-CA" w:eastAsia="en-CA"/>
              </w:rPr>
              <w:t>Basel III common disclosure template to be used during the transition of regulatory adjustments</w:t>
            </w:r>
          </w:p>
        </w:tc>
        <w:tc>
          <w:tcPr>
            <w:tcW w:w="1350" w:type="dxa"/>
            <w:vMerge w:val="restart"/>
            <w:tcBorders>
              <w:top w:val="nil"/>
              <w:left w:val="single" w:sz="4" w:space="0" w:color="auto"/>
              <w:bottom w:val="single" w:sz="4" w:space="0" w:color="auto"/>
              <w:right w:val="single" w:sz="4" w:space="0" w:color="auto"/>
            </w:tcBorders>
            <w:shd w:val="clear" w:color="auto" w:fill="auto"/>
            <w:vAlign w:val="center"/>
            <w:hideMark/>
          </w:tcPr>
          <w:p w14:paraId="1FD72A1F" w14:textId="77777777" w:rsidR="004C1CA7" w:rsidRPr="001D70E9" w:rsidRDefault="004C1CA7" w:rsidP="00040726">
            <w:pPr>
              <w:overflowPunct/>
              <w:autoSpaceDE/>
              <w:autoSpaceDN/>
              <w:adjustRightInd/>
              <w:jc w:val="center"/>
              <w:textAlignment w:val="auto"/>
              <w:rPr>
                <w:b/>
                <w:bCs/>
                <w:color w:val="000000"/>
                <w:sz w:val="24"/>
                <w:szCs w:val="24"/>
                <w:lang w:val="en-CA" w:eastAsia="en-CA"/>
              </w:rPr>
            </w:pPr>
            <w:r w:rsidRPr="001D70E9">
              <w:rPr>
                <w:b/>
                <w:bCs/>
                <w:color w:val="000000"/>
                <w:sz w:val="24"/>
                <w:szCs w:val="24"/>
                <w:lang w:val="en-CA" w:eastAsia="en-CA"/>
              </w:rPr>
              <w:t>Amounts Subject to Pre-Basel III Treatment</w:t>
            </w:r>
          </w:p>
        </w:tc>
        <w:tc>
          <w:tcPr>
            <w:tcW w:w="1435" w:type="dxa"/>
            <w:vMerge w:val="restart"/>
            <w:tcBorders>
              <w:top w:val="nil"/>
              <w:left w:val="single" w:sz="4" w:space="0" w:color="auto"/>
              <w:bottom w:val="single" w:sz="4" w:space="0" w:color="auto"/>
              <w:right w:val="single" w:sz="4" w:space="0" w:color="auto"/>
            </w:tcBorders>
            <w:shd w:val="clear" w:color="auto" w:fill="auto"/>
            <w:vAlign w:val="center"/>
            <w:hideMark/>
          </w:tcPr>
          <w:p w14:paraId="1C77A77A" w14:textId="77777777" w:rsidR="004C1CA7" w:rsidRPr="001D70E9" w:rsidRDefault="004C1CA7" w:rsidP="00040726">
            <w:pPr>
              <w:overflowPunct/>
              <w:autoSpaceDE/>
              <w:autoSpaceDN/>
              <w:adjustRightInd/>
              <w:jc w:val="center"/>
              <w:textAlignment w:val="auto"/>
              <w:rPr>
                <w:b/>
                <w:bCs/>
                <w:color w:val="000000"/>
                <w:sz w:val="24"/>
                <w:szCs w:val="24"/>
                <w:lang w:val="en-CA" w:eastAsia="en-CA"/>
              </w:rPr>
            </w:pPr>
            <w:r w:rsidRPr="001D70E9">
              <w:rPr>
                <w:b/>
                <w:bCs/>
                <w:color w:val="000000"/>
                <w:sz w:val="24"/>
                <w:szCs w:val="24"/>
                <w:lang w:val="en-CA" w:eastAsia="en-CA"/>
              </w:rPr>
              <w:t>Ref No.</w:t>
            </w:r>
          </w:p>
        </w:tc>
      </w:tr>
      <w:tr w:rsidR="004C1CA7" w:rsidRPr="001D70E9" w14:paraId="4B177026" w14:textId="77777777" w:rsidTr="00040726">
        <w:trPr>
          <w:trHeight w:val="315"/>
        </w:trPr>
        <w:tc>
          <w:tcPr>
            <w:tcW w:w="68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BFE5AE" w14:textId="77777777" w:rsidR="004C1CA7" w:rsidRPr="001D70E9" w:rsidRDefault="004C1CA7" w:rsidP="00040726">
            <w:pPr>
              <w:overflowPunct/>
              <w:autoSpaceDE/>
              <w:autoSpaceDN/>
              <w:adjustRightInd/>
              <w:jc w:val="center"/>
              <w:textAlignment w:val="auto"/>
              <w:rPr>
                <w:b/>
                <w:bCs/>
                <w:color w:val="000000"/>
                <w:sz w:val="24"/>
                <w:szCs w:val="24"/>
                <w:lang w:val="en-CA" w:eastAsia="en-CA"/>
              </w:rPr>
            </w:pPr>
            <w:r w:rsidRPr="001D70E9">
              <w:rPr>
                <w:b/>
                <w:bCs/>
                <w:color w:val="000000"/>
                <w:sz w:val="24"/>
                <w:szCs w:val="24"/>
                <w:lang w:val="en-CA" w:eastAsia="en-CA"/>
              </w:rPr>
              <w:t>(i.e. from April 1, 2013 to December 31, 2017)</w:t>
            </w:r>
          </w:p>
        </w:tc>
        <w:tc>
          <w:tcPr>
            <w:tcW w:w="1350" w:type="dxa"/>
            <w:vMerge/>
            <w:tcBorders>
              <w:top w:val="nil"/>
              <w:left w:val="single" w:sz="4" w:space="0" w:color="auto"/>
              <w:bottom w:val="single" w:sz="4" w:space="0" w:color="auto"/>
              <w:right w:val="single" w:sz="4" w:space="0" w:color="auto"/>
            </w:tcBorders>
            <w:vAlign w:val="center"/>
            <w:hideMark/>
          </w:tcPr>
          <w:p w14:paraId="6BDB2BC2" w14:textId="77777777" w:rsidR="004C1CA7" w:rsidRPr="001D70E9" w:rsidRDefault="004C1CA7" w:rsidP="00040726">
            <w:pPr>
              <w:overflowPunct/>
              <w:autoSpaceDE/>
              <w:autoSpaceDN/>
              <w:adjustRightInd/>
              <w:textAlignment w:val="auto"/>
              <w:rPr>
                <w:b/>
                <w:bCs/>
                <w:color w:val="000000"/>
                <w:sz w:val="24"/>
                <w:szCs w:val="24"/>
                <w:lang w:val="en-CA" w:eastAsia="en-CA"/>
              </w:rPr>
            </w:pPr>
          </w:p>
        </w:tc>
        <w:tc>
          <w:tcPr>
            <w:tcW w:w="1435" w:type="dxa"/>
            <w:vMerge/>
            <w:tcBorders>
              <w:top w:val="nil"/>
              <w:left w:val="single" w:sz="4" w:space="0" w:color="auto"/>
              <w:bottom w:val="single" w:sz="4" w:space="0" w:color="auto"/>
              <w:right w:val="single" w:sz="4" w:space="0" w:color="auto"/>
            </w:tcBorders>
            <w:vAlign w:val="center"/>
            <w:hideMark/>
          </w:tcPr>
          <w:p w14:paraId="522AB2BA" w14:textId="77777777" w:rsidR="004C1CA7" w:rsidRPr="001D70E9" w:rsidRDefault="004C1CA7" w:rsidP="00040726">
            <w:pPr>
              <w:overflowPunct/>
              <w:autoSpaceDE/>
              <w:autoSpaceDN/>
              <w:adjustRightInd/>
              <w:textAlignment w:val="auto"/>
              <w:rPr>
                <w:b/>
                <w:bCs/>
                <w:color w:val="000000"/>
                <w:sz w:val="24"/>
                <w:szCs w:val="24"/>
                <w:lang w:val="en-CA" w:eastAsia="en-CA"/>
              </w:rPr>
            </w:pPr>
          </w:p>
        </w:tc>
      </w:tr>
      <w:tr w:rsidR="004C1CA7" w:rsidRPr="001D70E9" w14:paraId="37DABB27" w14:textId="77777777" w:rsidTr="00040726">
        <w:trPr>
          <w:trHeight w:val="315"/>
        </w:trPr>
        <w:tc>
          <w:tcPr>
            <w:tcW w:w="68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362ED4"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Common Equity Tier 1 capital: instruments and reserves</w:t>
            </w:r>
          </w:p>
        </w:tc>
        <w:tc>
          <w:tcPr>
            <w:tcW w:w="1350" w:type="dxa"/>
            <w:tcBorders>
              <w:top w:val="nil"/>
              <w:left w:val="nil"/>
              <w:bottom w:val="single" w:sz="4" w:space="0" w:color="auto"/>
              <w:right w:val="single" w:sz="4" w:space="0" w:color="auto"/>
            </w:tcBorders>
            <w:shd w:val="clear" w:color="auto" w:fill="auto"/>
            <w:vAlign w:val="center"/>
            <w:hideMark/>
          </w:tcPr>
          <w:p w14:paraId="02AF70B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c>
          <w:tcPr>
            <w:tcW w:w="1435" w:type="dxa"/>
            <w:tcBorders>
              <w:top w:val="nil"/>
              <w:left w:val="nil"/>
              <w:bottom w:val="single" w:sz="4" w:space="0" w:color="auto"/>
              <w:right w:val="single" w:sz="4" w:space="0" w:color="auto"/>
            </w:tcBorders>
            <w:shd w:val="clear" w:color="auto" w:fill="auto"/>
            <w:vAlign w:val="center"/>
            <w:hideMark/>
          </w:tcPr>
          <w:p w14:paraId="1F84772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CAB1339" w14:textId="77777777" w:rsidTr="00040726">
        <w:trPr>
          <w:trHeight w:val="78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D4A9E4F"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w:t>
            </w:r>
          </w:p>
        </w:tc>
        <w:tc>
          <w:tcPr>
            <w:tcW w:w="4860" w:type="dxa"/>
            <w:tcBorders>
              <w:top w:val="nil"/>
              <w:left w:val="nil"/>
              <w:bottom w:val="single" w:sz="4" w:space="0" w:color="auto"/>
              <w:right w:val="single" w:sz="4" w:space="0" w:color="auto"/>
            </w:tcBorders>
            <w:shd w:val="clear" w:color="auto" w:fill="auto"/>
            <w:vAlign w:val="center"/>
            <w:hideMark/>
          </w:tcPr>
          <w:p w14:paraId="12A8200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Directly issued qualifying common share capital plus related stock surplus </w:t>
            </w:r>
            <w:r w:rsidRPr="0033692D">
              <w:rPr>
                <w:sz w:val="24"/>
                <w:szCs w:val="24"/>
                <w:lang w:val="en-CA" w:eastAsia="en-CA"/>
              </w:rPr>
              <w:t>(share premium) (Funds from Head Office</w:t>
            </w:r>
            <w:r w:rsidRPr="001D70E9">
              <w:rPr>
                <w:color w:val="000000"/>
                <w:sz w:val="24"/>
                <w:szCs w:val="24"/>
                <w:lang w:val="en-CA" w:eastAsia="en-CA"/>
              </w:rPr>
              <w:t>)</w:t>
            </w:r>
          </w:p>
        </w:tc>
        <w:tc>
          <w:tcPr>
            <w:tcW w:w="1350" w:type="dxa"/>
            <w:tcBorders>
              <w:top w:val="nil"/>
              <w:left w:val="nil"/>
              <w:bottom w:val="single" w:sz="4" w:space="0" w:color="auto"/>
              <w:right w:val="single" w:sz="4" w:space="0" w:color="auto"/>
            </w:tcBorders>
            <w:shd w:val="clear" w:color="auto" w:fill="auto"/>
            <w:vAlign w:val="center"/>
            <w:hideMark/>
          </w:tcPr>
          <w:p w14:paraId="56E28D6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w:t>
            </w:r>
            <w:r w:rsidRPr="00A93647">
              <w:rPr>
                <w:sz w:val="24"/>
                <w:szCs w:val="24"/>
                <w:lang w:val="en-CA" w:eastAsia="en-CA"/>
              </w:rPr>
              <w:t xml:space="preserve">8,394,130 </w:t>
            </w:r>
          </w:p>
        </w:tc>
        <w:tc>
          <w:tcPr>
            <w:tcW w:w="1350" w:type="dxa"/>
            <w:tcBorders>
              <w:top w:val="nil"/>
              <w:left w:val="nil"/>
              <w:bottom w:val="single" w:sz="4" w:space="0" w:color="auto"/>
              <w:right w:val="single" w:sz="4" w:space="0" w:color="auto"/>
            </w:tcBorders>
            <w:shd w:val="clear" w:color="auto" w:fill="auto"/>
            <w:vAlign w:val="center"/>
            <w:hideMark/>
          </w:tcPr>
          <w:p w14:paraId="4C56A95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1435" w:type="dxa"/>
            <w:tcBorders>
              <w:top w:val="nil"/>
              <w:left w:val="nil"/>
              <w:bottom w:val="single" w:sz="4" w:space="0" w:color="auto"/>
              <w:right w:val="single" w:sz="4" w:space="0" w:color="auto"/>
            </w:tcBorders>
            <w:shd w:val="clear" w:color="auto" w:fill="auto"/>
            <w:vAlign w:val="center"/>
            <w:hideMark/>
          </w:tcPr>
          <w:p w14:paraId="33AB460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(A)</w:t>
            </w:r>
          </w:p>
        </w:tc>
      </w:tr>
      <w:tr w:rsidR="004C1CA7" w:rsidRPr="001D70E9" w14:paraId="0B62AF39" w14:textId="77777777" w:rsidTr="00040726">
        <w:trPr>
          <w:trHeight w:val="125"/>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A0D5BE1"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w:t>
            </w:r>
          </w:p>
        </w:tc>
        <w:tc>
          <w:tcPr>
            <w:tcW w:w="4860" w:type="dxa"/>
            <w:tcBorders>
              <w:top w:val="nil"/>
              <w:left w:val="nil"/>
              <w:bottom w:val="single" w:sz="4" w:space="0" w:color="auto"/>
              <w:right w:val="single" w:sz="4" w:space="0" w:color="auto"/>
            </w:tcBorders>
            <w:shd w:val="clear" w:color="auto" w:fill="auto"/>
            <w:vAlign w:val="center"/>
            <w:hideMark/>
          </w:tcPr>
          <w:p w14:paraId="4D8AAF5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Retained earnings</w:t>
            </w:r>
          </w:p>
        </w:tc>
        <w:tc>
          <w:tcPr>
            <w:tcW w:w="1350" w:type="dxa"/>
            <w:tcBorders>
              <w:top w:val="nil"/>
              <w:left w:val="nil"/>
              <w:bottom w:val="single" w:sz="4" w:space="0" w:color="auto"/>
              <w:right w:val="single" w:sz="4" w:space="0" w:color="auto"/>
            </w:tcBorders>
            <w:shd w:val="clear" w:color="auto" w:fill="auto"/>
            <w:vAlign w:val="center"/>
            <w:hideMark/>
          </w:tcPr>
          <w:p w14:paraId="5C7565F5" w14:textId="77777777" w:rsidR="004C1CA7" w:rsidRPr="001D70E9" w:rsidRDefault="004C1CA7" w:rsidP="00040726">
            <w:pPr>
              <w:overflowPunct/>
              <w:autoSpaceDE/>
              <w:autoSpaceDN/>
              <w:adjustRightInd/>
              <w:textAlignment w:val="auto"/>
              <w:rPr>
                <w:color w:val="000000"/>
                <w:sz w:val="24"/>
                <w:szCs w:val="24"/>
                <w:lang w:val="en-CA" w:eastAsia="en-CA"/>
              </w:rPr>
            </w:pPr>
            <w:r w:rsidRPr="00A93647">
              <w:rPr>
                <w:sz w:val="24"/>
                <w:szCs w:val="24"/>
                <w:lang w:val="en-CA" w:eastAsia="en-CA"/>
              </w:rPr>
              <w:t xml:space="preserve">  </w:t>
            </w:r>
            <w:r>
              <w:rPr>
                <w:sz w:val="24"/>
                <w:szCs w:val="24"/>
                <w:lang w:val="en-CA" w:eastAsia="en-CA"/>
              </w:rPr>
              <w:t>9,129,627</w:t>
            </w:r>
          </w:p>
        </w:tc>
        <w:tc>
          <w:tcPr>
            <w:tcW w:w="1350" w:type="dxa"/>
            <w:tcBorders>
              <w:top w:val="nil"/>
              <w:left w:val="nil"/>
              <w:bottom w:val="single" w:sz="4" w:space="0" w:color="auto"/>
              <w:right w:val="single" w:sz="4" w:space="0" w:color="auto"/>
            </w:tcBorders>
            <w:shd w:val="clear" w:color="auto" w:fill="auto"/>
            <w:vAlign w:val="center"/>
            <w:hideMark/>
          </w:tcPr>
          <w:p w14:paraId="1ED5618A"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7B0BB66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(B)</w:t>
            </w:r>
          </w:p>
        </w:tc>
      </w:tr>
      <w:tr w:rsidR="004C1CA7" w:rsidRPr="001D70E9" w14:paraId="7D958BA3" w14:textId="77777777" w:rsidTr="00040726">
        <w:trPr>
          <w:trHeight w:val="29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3E8CA96"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w:t>
            </w:r>
          </w:p>
        </w:tc>
        <w:tc>
          <w:tcPr>
            <w:tcW w:w="4860" w:type="dxa"/>
            <w:tcBorders>
              <w:top w:val="nil"/>
              <w:left w:val="nil"/>
              <w:bottom w:val="single" w:sz="4" w:space="0" w:color="auto"/>
              <w:right w:val="single" w:sz="4" w:space="0" w:color="auto"/>
            </w:tcBorders>
            <w:shd w:val="clear" w:color="auto" w:fill="auto"/>
            <w:vAlign w:val="center"/>
            <w:hideMark/>
          </w:tcPr>
          <w:p w14:paraId="74B0D52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Accumulated other comprehensive income (and other reserves)</w:t>
            </w:r>
          </w:p>
        </w:tc>
        <w:tc>
          <w:tcPr>
            <w:tcW w:w="1350" w:type="dxa"/>
            <w:tcBorders>
              <w:top w:val="nil"/>
              <w:left w:val="nil"/>
              <w:bottom w:val="single" w:sz="4" w:space="0" w:color="auto"/>
              <w:right w:val="single" w:sz="4" w:space="0" w:color="auto"/>
            </w:tcBorders>
            <w:shd w:val="clear" w:color="auto" w:fill="auto"/>
            <w:vAlign w:val="center"/>
            <w:hideMark/>
          </w:tcPr>
          <w:p w14:paraId="3EED1766"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1350" w:type="dxa"/>
            <w:tcBorders>
              <w:top w:val="nil"/>
              <w:left w:val="nil"/>
              <w:bottom w:val="single" w:sz="4" w:space="0" w:color="auto"/>
              <w:right w:val="single" w:sz="4" w:space="0" w:color="auto"/>
            </w:tcBorders>
            <w:shd w:val="clear" w:color="auto" w:fill="auto"/>
            <w:vAlign w:val="center"/>
            <w:hideMark/>
          </w:tcPr>
          <w:p w14:paraId="28A777C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3BA9D67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4038CF7" w14:textId="77777777" w:rsidTr="00040726">
        <w:trPr>
          <w:trHeight w:val="440"/>
        </w:trPr>
        <w:tc>
          <w:tcPr>
            <w:tcW w:w="645" w:type="dxa"/>
            <w:vMerge w:val="restart"/>
            <w:tcBorders>
              <w:top w:val="nil"/>
              <w:left w:val="single" w:sz="4" w:space="0" w:color="auto"/>
              <w:bottom w:val="single" w:sz="4" w:space="0" w:color="auto"/>
              <w:right w:val="single" w:sz="4" w:space="0" w:color="auto"/>
            </w:tcBorders>
            <w:shd w:val="clear" w:color="auto" w:fill="auto"/>
            <w:vAlign w:val="center"/>
            <w:hideMark/>
          </w:tcPr>
          <w:p w14:paraId="6D1AE872"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w:t>
            </w:r>
          </w:p>
        </w:tc>
        <w:tc>
          <w:tcPr>
            <w:tcW w:w="4860" w:type="dxa"/>
            <w:tcBorders>
              <w:top w:val="nil"/>
              <w:left w:val="nil"/>
              <w:bottom w:val="single" w:sz="4" w:space="0" w:color="auto"/>
              <w:right w:val="single" w:sz="4" w:space="0" w:color="auto"/>
            </w:tcBorders>
            <w:shd w:val="clear" w:color="auto" w:fill="auto"/>
            <w:vAlign w:val="center"/>
            <w:hideMark/>
          </w:tcPr>
          <w:p w14:paraId="3C543D8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Directly issued capital subject to phase out from CET1 (only applicable to non-joint stock companies)</w:t>
            </w:r>
          </w:p>
        </w:tc>
        <w:tc>
          <w:tcPr>
            <w:tcW w:w="1350" w:type="dxa"/>
            <w:tcBorders>
              <w:top w:val="nil"/>
              <w:left w:val="nil"/>
              <w:bottom w:val="single" w:sz="4" w:space="0" w:color="auto"/>
              <w:right w:val="single" w:sz="4" w:space="0" w:color="auto"/>
            </w:tcBorders>
            <w:shd w:val="clear" w:color="auto" w:fill="auto"/>
            <w:vAlign w:val="center"/>
            <w:hideMark/>
          </w:tcPr>
          <w:p w14:paraId="06C9FF8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1350" w:type="dxa"/>
            <w:tcBorders>
              <w:top w:val="nil"/>
              <w:left w:val="nil"/>
              <w:bottom w:val="single" w:sz="4" w:space="0" w:color="auto"/>
              <w:right w:val="single" w:sz="4" w:space="0" w:color="auto"/>
            </w:tcBorders>
            <w:shd w:val="clear" w:color="auto" w:fill="auto"/>
            <w:vAlign w:val="center"/>
            <w:hideMark/>
          </w:tcPr>
          <w:p w14:paraId="0E5B8A9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68E0D2C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1EDA87D" w14:textId="77777777" w:rsidTr="00040726">
        <w:trPr>
          <w:trHeight w:val="242"/>
        </w:trPr>
        <w:tc>
          <w:tcPr>
            <w:tcW w:w="645" w:type="dxa"/>
            <w:vMerge/>
            <w:tcBorders>
              <w:top w:val="nil"/>
              <w:left w:val="single" w:sz="4" w:space="0" w:color="auto"/>
              <w:bottom w:val="single" w:sz="4" w:space="0" w:color="auto"/>
              <w:right w:val="single" w:sz="4" w:space="0" w:color="auto"/>
            </w:tcBorders>
            <w:vAlign w:val="center"/>
            <w:hideMark/>
          </w:tcPr>
          <w:p w14:paraId="6743A3B0"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28EB8D7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Public sector capital injections grandfathered until January 1, </w:t>
            </w:r>
            <w:r>
              <w:rPr>
                <w:color w:val="000000"/>
                <w:sz w:val="24"/>
                <w:szCs w:val="24"/>
                <w:lang w:val="en-CA" w:eastAsia="en-CA"/>
              </w:rPr>
              <w:t>2019</w:t>
            </w:r>
          </w:p>
        </w:tc>
        <w:tc>
          <w:tcPr>
            <w:tcW w:w="1350" w:type="dxa"/>
            <w:tcBorders>
              <w:top w:val="nil"/>
              <w:left w:val="nil"/>
              <w:bottom w:val="single" w:sz="4" w:space="0" w:color="auto"/>
              <w:right w:val="single" w:sz="4" w:space="0" w:color="auto"/>
            </w:tcBorders>
            <w:shd w:val="clear" w:color="auto" w:fill="auto"/>
            <w:vAlign w:val="center"/>
            <w:hideMark/>
          </w:tcPr>
          <w:p w14:paraId="6F9F426E"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1350" w:type="dxa"/>
            <w:tcBorders>
              <w:top w:val="nil"/>
              <w:left w:val="nil"/>
              <w:bottom w:val="single" w:sz="4" w:space="0" w:color="auto"/>
              <w:right w:val="single" w:sz="4" w:space="0" w:color="auto"/>
            </w:tcBorders>
            <w:shd w:val="clear" w:color="auto" w:fill="auto"/>
            <w:vAlign w:val="center"/>
            <w:hideMark/>
          </w:tcPr>
          <w:p w14:paraId="4BC4703E"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A12E52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E415A8C" w14:textId="77777777" w:rsidTr="00040726">
        <w:trPr>
          <w:trHeight w:val="665"/>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5659A67"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w:t>
            </w:r>
          </w:p>
        </w:tc>
        <w:tc>
          <w:tcPr>
            <w:tcW w:w="4860" w:type="dxa"/>
            <w:tcBorders>
              <w:top w:val="nil"/>
              <w:left w:val="nil"/>
              <w:bottom w:val="single" w:sz="4" w:space="0" w:color="auto"/>
              <w:right w:val="single" w:sz="4" w:space="0" w:color="auto"/>
            </w:tcBorders>
            <w:shd w:val="clear" w:color="auto" w:fill="auto"/>
            <w:vAlign w:val="center"/>
            <w:hideMark/>
          </w:tcPr>
          <w:p w14:paraId="45E136D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Common share capital issued by subsidiaries and held by third parties (amount allowed in group CET1)</w:t>
            </w:r>
          </w:p>
        </w:tc>
        <w:tc>
          <w:tcPr>
            <w:tcW w:w="1350" w:type="dxa"/>
            <w:tcBorders>
              <w:top w:val="nil"/>
              <w:left w:val="nil"/>
              <w:bottom w:val="single" w:sz="4" w:space="0" w:color="auto"/>
              <w:right w:val="single" w:sz="4" w:space="0" w:color="auto"/>
            </w:tcBorders>
            <w:shd w:val="clear" w:color="auto" w:fill="auto"/>
            <w:vAlign w:val="center"/>
            <w:hideMark/>
          </w:tcPr>
          <w:p w14:paraId="6C018C4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1350" w:type="dxa"/>
            <w:tcBorders>
              <w:top w:val="nil"/>
              <w:left w:val="nil"/>
              <w:bottom w:val="single" w:sz="4" w:space="0" w:color="auto"/>
              <w:right w:val="single" w:sz="4" w:space="0" w:color="auto"/>
            </w:tcBorders>
            <w:shd w:val="clear" w:color="auto" w:fill="auto"/>
            <w:vAlign w:val="center"/>
            <w:hideMark/>
          </w:tcPr>
          <w:p w14:paraId="126F6626"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56AE781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25EECC3" w14:textId="77777777" w:rsidTr="00040726">
        <w:trPr>
          <w:trHeight w:val="179"/>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C3BB169"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w:t>
            </w:r>
          </w:p>
        </w:tc>
        <w:tc>
          <w:tcPr>
            <w:tcW w:w="4860" w:type="dxa"/>
            <w:tcBorders>
              <w:top w:val="nil"/>
              <w:left w:val="nil"/>
              <w:bottom w:val="single" w:sz="4" w:space="0" w:color="auto"/>
              <w:right w:val="single" w:sz="4" w:space="0" w:color="auto"/>
            </w:tcBorders>
            <w:shd w:val="clear" w:color="auto" w:fill="auto"/>
            <w:vAlign w:val="center"/>
            <w:hideMark/>
          </w:tcPr>
          <w:p w14:paraId="0911C91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Common Equity Tier 1 capital before regulatory adjustments</w:t>
            </w:r>
          </w:p>
        </w:tc>
        <w:tc>
          <w:tcPr>
            <w:tcW w:w="1350" w:type="dxa"/>
            <w:tcBorders>
              <w:top w:val="nil"/>
              <w:left w:val="nil"/>
              <w:bottom w:val="single" w:sz="4" w:space="0" w:color="auto"/>
              <w:right w:val="single" w:sz="4" w:space="0" w:color="auto"/>
            </w:tcBorders>
            <w:shd w:val="clear" w:color="auto" w:fill="auto"/>
            <w:vAlign w:val="center"/>
            <w:hideMark/>
          </w:tcPr>
          <w:p w14:paraId="0A5B1BF8" w14:textId="77777777" w:rsidR="004C1CA7" w:rsidRPr="001D70E9" w:rsidRDefault="004C1CA7" w:rsidP="00040726">
            <w:pPr>
              <w:overflowPunct/>
              <w:autoSpaceDE/>
              <w:autoSpaceDN/>
              <w:adjustRightInd/>
              <w:jc w:val="right"/>
              <w:textAlignment w:val="auto"/>
              <w:rPr>
                <w:b/>
                <w:bCs/>
                <w:color w:val="000000"/>
                <w:sz w:val="24"/>
                <w:szCs w:val="24"/>
                <w:lang w:val="en-CA" w:eastAsia="en-CA"/>
              </w:rPr>
            </w:pPr>
            <w:r w:rsidRPr="001D70E9">
              <w:rPr>
                <w:b/>
                <w:bCs/>
                <w:color w:val="000000"/>
                <w:sz w:val="24"/>
                <w:szCs w:val="24"/>
                <w:lang w:val="en-CA" w:eastAsia="en-CA"/>
              </w:rPr>
              <w:t xml:space="preserve">  </w:t>
            </w:r>
            <w:r>
              <w:rPr>
                <w:b/>
                <w:bCs/>
                <w:color w:val="000000"/>
                <w:sz w:val="24"/>
                <w:szCs w:val="24"/>
                <w:lang w:val="en-CA" w:eastAsia="en-CA"/>
              </w:rPr>
              <w:t>17,523,757</w:t>
            </w:r>
          </w:p>
        </w:tc>
        <w:tc>
          <w:tcPr>
            <w:tcW w:w="1350" w:type="dxa"/>
            <w:tcBorders>
              <w:top w:val="nil"/>
              <w:left w:val="nil"/>
              <w:bottom w:val="single" w:sz="4" w:space="0" w:color="auto"/>
              <w:right w:val="single" w:sz="4" w:space="0" w:color="auto"/>
            </w:tcBorders>
            <w:shd w:val="clear" w:color="auto" w:fill="auto"/>
            <w:vAlign w:val="center"/>
            <w:hideMark/>
          </w:tcPr>
          <w:p w14:paraId="644CB29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1435" w:type="dxa"/>
            <w:tcBorders>
              <w:top w:val="nil"/>
              <w:left w:val="nil"/>
              <w:bottom w:val="single" w:sz="4" w:space="0" w:color="auto"/>
              <w:right w:val="single" w:sz="4" w:space="0" w:color="auto"/>
            </w:tcBorders>
            <w:shd w:val="clear" w:color="auto" w:fill="auto"/>
            <w:vAlign w:val="center"/>
            <w:hideMark/>
          </w:tcPr>
          <w:p w14:paraId="6D6B245D"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D28DF23" w14:textId="77777777" w:rsidTr="00040726">
        <w:trPr>
          <w:trHeight w:val="161"/>
        </w:trPr>
        <w:tc>
          <w:tcPr>
            <w:tcW w:w="68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ADBABF"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 xml:space="preserve">Common Equity Tier 1 </w:t>
            </w:r>
            <w:proofErr w:type="gramStart"/>
            <w:r w:rsidRPr="001D70E9">
              <w:rPr>
                <w:b/>
                <w:bCs/>
                <w:color w:val="000000"/>
                <w:sz w:val="24"/>
                <w:szCs w:val="24"/>
                <w:lang w:val="en-CA" w:eastAsia="en-CA"/>
              </w:rPr>
              <w:t>capital :</w:t>
            </w:r>
            <w:proofErr w:type="gramEnd"/>
            <w:r w:rsidRPr="001D70E9">
              <w:rPr>
                <w:b/>
                <w:bCs/>
                <w:color w:val="000000"/>
                <w:sz w:val="24"/>
                <w:szCs w:val="24"/>
                <w:lang w:val="en-CA" w:eastAsia="en-CA"/>
              </w:rPr>
              <w:t xml:space="preserve"> regulatory adjustments</w:t>
            </w:r>
          </w:p>
        </w:tc>
        <w:tc>
          <w:tcPr>
            <w:tcW w:w="1350" w:type="dxa"/>
            <w:tcBorders>
              <w:top w:val="nil"/>
              <w:left w:val="nil"/>
              <w:bottom w:val="single" w:sz="4" w:space="0" w:color="auto"/>
              <w:right w:val="single" w:sz="4" w:space="0" w:color="auto"/>
            </w:tcBorders>
            <w:shd w:val="clear" w:color="auto" w:fill="auto"/>
            <w:vAlign w:val="center"/>
            <w:hideMark/>
          </w:tcPr>
          <w:p w14:paraId="79E21D4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1435" w:type="dxa"/>
            <w:tcBorders>
              <w:top w:val="nil"/>
              <w:left w:val="nil"/>
              <w:bottom w:val="single" w:sz="4" w:space="0" w:color="auto"/>
              <w:right w:val="single" w:sz="4" w:space="0" w:color="auto"/>
            </w:tcBorders>
            <w:shd w:val="clear" w:color="auto" w:fill="auto"/>
            <w:vAlign w:val="center"/>
            <w:hideMark/>
          </w:tcPr>
          <w:p w14:paraId="728A429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EC61C3C" w14:textId="77777777" w:rsidTr="00040726">
        <w:trPr>
          <w:trHeight w:val="15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405248B"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w:t>
            </w:r>
          </w:p>
        </w:tc>
        <w:tc>
          <w:tcPr>
            <w:tcW w:w="4860" w:type="dxa"/>
            <w:tcBorders>
              <w:top w:val="nil"/>
              <w:left w:val="nil"/>
              <w:bottom w:val="single" w:sz="4" w:space="0" w:color="auto"/>
              <w:right w:val="single" w:sz="4" w:space="0" w:color="auto"/>
            </w:tcBorders>
            <w:shd w:val="clear" w:color="auto" w:fill="auto"/>
            <w:vAlign w:val="center"/>
            <w:hideMark/>
          </w:tcPr>
          <w:p w14:paraId="3457D8BD"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Prudential valuation adjustments</w:t>
            </w:r>
          </w:p>
        </w:tc>
        <w:tc>
          <w:tcPr>
            <w:tcW w:w="1350" w:type="dxa"/>
            <w:tcBorders>
              <w:top w:val="nil"/>
              <w:left w:val="nil"/>
              <w:bottom w:val="single" w:sz="4" w:space="0" w:color="auto"/>
              <w:right w:val="single" w:sz="4" w:space="0" w:color="auto"/>
            </w:tcBorders>
            <w:shd w:val="clear" w:color="auto" w:fill="auto"/>
            <w:vAlign w:val="center"/>
            <w:hideMark/>
          </w:tcPr>
          <w:p w14:paraId="2922A83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319D4DB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7ABAE3E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F8FF420" w14:textId="77777777" w:rsidTr="00040726">
        <w:trPr>
          <w:trHeight w:val="6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1362BCC"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8</w:t>
            </w:r>
          </w:p>
        </w:tc>
        <w:tc>
          <w:tcPr>
            <w:tcW w:w="4860" w:type="dxa"/>
            <w:tcBorders>
              <w:top w:val="nil"/>
              <w:left w:val="nil"/>
              <w:bottom w:val="single" w:sz="4" w:space="0" w:color="auto"/>
              <w:right w:val="single" w:sz="4" w:space="0" w:color="auto"/>
            </w:tcBorders>
            <w:shd w:val="clear" w:color="auto" w:fill="auto"/>
            <w:vAlign w:val="center"/>
            <w:hideMark/>
          </w:tcPr>
          <w:p w14:paraId="563B10A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Goodwill (net of related tax liability)</w:t>
            </w:r>
          </w:p>
        </w:tc>
        <w:tc>
          <w:tcPr>
            <w:tcW w:w="1350" w:type="dxa"/>
            <w:tcBorders>
              <w:top w:val="nil"/>
              <w:left w:val="nil"/>
              <w:bottom w:val="single" w:sz="4" w:space="0" w:color="auto"/>
              <w:right w:val="single" w:sz="4" w:space="0" w:color="auto"/>
            </w:tcBorders>
            <w:shd w:val="clear" w:color="auto" w:fill="auto"/>
            <w:vAlign w:val="center"/>
            <w:hideMark/>
          </w:tcPr>
          <w:p w14:paraId="32FA541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4879FC5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0AD319C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EC5DE20" w14:textId="77777777" w:rsidTr="00040726">
        <w:trPr>
          <w:trHeight w:val="38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09568DC"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9</w:t>
            </w:r>
          </w:p>
        </w:tc>
        <w:tc>
          <w:tcPr>
            <w:tcW w:w="4860" w:type="dxa"/>
            <w:tcBorders>
              <w:top w:val="nil"/>
              <w:left w:val="nil"/>
              <w:bottom w:val="single" w:sz="4" w:space="0" w:color="auto"/>
              <w:right w:val="single" w:sz="4" w:space="0" w:color="auto"/>
            </w:tcBorders>
            <w:shd w:val="clear" w:color="auto" w:fill="auto"/>
            <w:vAlign w:val="center"/>
            <w:hideMark/>
          </w:tcPr>
          <w:p w14:paraId="6EE495B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Intangibles other than mortgage-servicing rights (net of related tax liability)</w:t>
            </w:r>
          </w:p>
        </w:tc>
        <w:tc>
          <w:tcPr>
            <w:tcW w:w="1350" w:type="dxa"/>
            <w:tcBorders>
              <w:top w:val="nil"/>
              <w:left w:val="nil"/>
              <w:bottom w:val="single" w:sz="4" w:space="0" w:color="auto"/>
              <w:right w:val="single" w:sz="4" w:space="0" w:color="auto"/>
            </w:tcBorders>
            <w:shd w:val="clear" w:color="auto" w:fill="auto"/>
            <w:vAlign w:val="center"/>
            <w:hideMark/>
          </w:tcPr>
          <w:p w14:paraId="5250667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2,559</w:t>
            </w:r>
          </w:p>
        </w:tc>
        <w:tc>
          <w:tcPr>
            <w:tcW w:w="1350" w:type="dxa"/>
            <w:tcBorders>
              <w:top w:val="nil"/>
              <w:left w:val="nil"/>
              <w:bottom w:val="single" w:sz="4" w:space="0" w:color="auto"/>
              <w:right w:val="single" w:sz="4" w:space="0" w:color="auto"/>
            </w:tcBorders>
            <w:shd w:val="clear" w:color="auto" w:fill="auto"/>
            <w:vAlign w:val="center"/>
            <w:hideMark/>
          </w:tcPr>
          <w:p w14:paraId="7178E7E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664A97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(C1+ D1)</w:t>
            </w:r>
          </w:p>
        </w:tc>
      </w:tr>
      <w:tr w:rsidR="004C1CA7" w:rsidRPr="001D70E9" w14:paraId="38772ECC" w14:textId="77777777" w:rsidTr="00040726">
        <w:trPr>
          <w:trHeight w:val="98"/>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7E72554"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10</w:t>
            </w:r>
          </w:p>
        </w:tc>
        <w:tc>
          <w:tcPr>
            <w:tcW w:w="4860" w:type="dxa"/>
            <w:tcBorders>
              <w:top w:val="nil"/>
              <w:left w:val="nil"/>
              <w:bottom w:val="single" w:sz="4" w:space="0" w:color="auto"/>
              <w:right w:val="single" w:sz="4" w:space="0" w:color="auto"/>
            </w:tcBorders>
            <w:shd w:val="clear" w:color="auto" w:fill="auto"/>
            <w:vAlign w:val="center"/>
            <w:hideMark/>
          </w:tcPr>
          <w:p w14:paraId="698FC7B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Deferred tax assets</w:t>
            </w:r>
          </w:p>
        </w:tc>
        <w:tc>
          <w:tcPr>
            <w:tcW w:w="1350" w:type="dxa"/>
            <w:tcBorders>
              <w:top w:val="nil"/>
              <w:left w:val="nil"/>
              <w:bottom w:val="single" w:sz="4" w:space="0" w:color="auto"/>
              <w:right w:val="single" w:sz="4" w:space="0" w:color="auto"/>
            </w:tcBorders>
            <w:shd w:val="clear" w:color="auto" w:fill="auto"/>
            <w:vAlign w:val="center"/>
            <w:hideMark/>
          </w:tcPr>
          <w:p w14:paraId="4BEE1DF6"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412,204</w:t>
            </w:r>
          </w:p>
        </w:tc>
        <w:tc>
          <w:tcPr>
            <w:tcW w:w="1350" w:type="dxa"/>
            <w:tcBorders>
              <w:top w:val="nil"/>
              <w:left w:val="nil"/>
              <w:bottom w:val="single" w:sz="4" w:space="0" w:color="auto"/>
              <w:right w:val="single" w:sz="4" w:space="0" w:color="auto"/>
            </w:tcBorders>
            <w:shd w:val="clear" w:color="auto" w:fill="auto"/>
            <w:vAlign w:val="center"/>
            <w:hideMark/>
          </w:tcPr>
          <w:p w14:paraId="090035B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6819950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w:t>
            </w:r>
          </w:p>
        </w:tc>
      </w:tr>
      <w:tr w:rsidR="004C1CA7" w:rsidRPr="001D70E9" w14:paraId="37FF3210" w14:textId="77777777" w:rsidTr="00040726">
        <w:trPr>
          <w:trHeight w:val="6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F4B083F"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11</w:t>
            </w:r>
          </w:p>
        </w:tc>
        <w:tc>
          <w:tcPr>
            <w:tcW w:w="4860" w:type="dxa"/>
            <w:tcBorders>
              <w:top w:val="nil"/>
              <w:left w:val="nil"/>
              <w:bottom w:val="single" w:sz="4" w:space="0" w:color="auto"/>
              <w:right w:val="single" w:sz="4" w:space="0" w:color="auto"/>
            </w:tcBorders>
            <w:shd w:val="clear" w:color="auto" w:fill="auto"/>
            <w:vAlign w:val="center"/>
            <w:hideMark/>
          </w:tcPr>
          <w:p w14:paraId="0C88455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Cash-flow hedge reserve</w:t>
            </w:r>
          </w:p>
        </w:tc>
        <w:tc>
          <w:tcPr>
            <w:tcW w:w="1350" w:type="dxa"/>
            <w:tcBorders>
              <w:top w:val="nil"/>
              <w:left w:val="nil"/>
              <w:bottom w:val="single" w:sz="4" w:space="0" w:color="auto"/>
              <w:right w:val="single" w:sz="4" w:space="0" w:color="auto"/>
            </w:tcBorders>
            <w:shd w:val="clear" w:color="auto" w:fill="auto"/>
            <w:vAlign w:val="center"/>
            <w:hideMark/>
          </w:tcPr>
          <w:p w14:paraId="62D7BB2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093447C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35B33B8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6D4E0CC" w14:textId="77777777" w:rsidTr="00040726">
        <w:trPr>
          <w:trHeight w:val="161"/>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43053FF"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12</w:t>
            </w:r>
          </w:p>
        </w:tc>
        <w:tc>
          <w:tcPr>
            <w:tcW w:w="4860" w:type="dxa"/>
            <w:tcBorders>
              <w:top w:val="nil"/>
              <w:left w:val="nil"/>
              <w:bottom w:val="single" w:sz="4" w:space="0" w:color="auto"/>
              <w:right w:val="single" w:sz="4" w:space="0" w:color="auto"/>
            </w:tcBorders>
            <w:shd w:val="clear" w:color="auto" w:fill="auto"/>
            <w:vAlign w:val="center"/>
            <w:hideMark/>
          </w:tcPr>
          <w:p w14:paraId="5D1342B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Shortfall of provisions to expected losses</w:t>
            </w:r>
          </w:p>
        </w:tc>
        <w:tc>
          <w:tcPr>
            <w:tcW w:w="1350" w:type="dxa"/>
            <w:tcBorders>
              <w:top w:val="nil"/>
              <w:left w:val="nil"/>
              <w:bottom w:val="single" w:sz="4" w:space="0" w:color="auto"/>
              <w:right w:val="single" w:sz="4" w:space="0" w:color="auto"/>
            </w:tcBorders>
            <w:shd w:val="clear" w:color="auto" w:fill="auto"/>
            <w:vAlign w:val="center"/>
            <w:hideMark/>
          </w:tcPr>
          <w:p w14:paraId="46F3419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7D283942"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0B299F6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BDD811B" w14:textId="77777777" w:rsidTr="00040726">
        <w:trPr>
          <w:trHeight w:val="13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FC0DCA8"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13</w:t>
            </w:r>
          </w:p>
        </w:tc>
        <w:tc>
          <w:tcPr>
            <w:tcW w:w="4860" w:type="dxa"/>
            <w:tcBorders>
              <w:top w:val="nil"/>
              <w:left w:val="nil"/>
              <w:bottom w:val="single" w:sz="4" w:space="0" w:color="auto"/>
              <w:right w:val="single" w:sz="4" w:space="0" w:color="auto"/>
            </w:tcBorders>
            <w:shd w:val="clear" w:color="auto" w:fill="auto"/>
            <w:vAlign w:val="center"/>
            <w:hideMark/>
          </w:tcPr>
          <w:p w14:paraId="64DDFE1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Securitisation gain on sale</w:t>
            </w:r>
          </w:p>
        </w:tc>
        <w:tc>
          <w:tcPr>
            <w:tcW w:w="1350" w:type="dxa"/>
            <w:tcBorders>
              <w:top w:val="nil"/>
              <w:left w:val="nil"/>
              <w:bottom w:val="single" w:sz="4" w:space="0" w:color="auto"/>
              <w:right w:val="single" w:sz="4" w:space="0" w:color="auto"/>
            </w:tcBorders>
            <w:shd w:val="clear" w:color="auto" w:fill="auto"/>
            <w:vAlign w:val="center"/>
            <w:hideMark/>
          </w:tcPr>
          <w:p w14:paraId="336A534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1109EC9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4C5305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EB3BC38" w14:textId="77777777" w:rsidTr="00040726">
        <w:trPr>
          <w:trHeight w:val="38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BAEC56B"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14</w:t>
            </w:r>
          </w:p>
        </w:tc>
        <w:tc>
          <w:tcPr>
            <w:tcW w:w="4860" w:type="dxa"/>
            <w:tcBorders>
              <w:top w:val="nil"/>
              <w:left w:val="nil"/>
              <w:bottom w:val="single" w:sz="4" w:space="0" w:color="auto"/>
              <w:right w:val="single" w:sz="4" w:space="0" w:color="auto"/>
            </w:tcBorders>
            <w:shd w:val="clear" w:color="auto" w:fill="auto"/>
            <w:vAlign w:val="center"/>
            <w:hideMark/>
          </w:tcPr>
          <w:p w14:paraId="5AD8873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Gains and losses due to changes in own credit risk on fair valued liabilities</w:t>
            </w:r>
          </w:p>
        </w:tc>
        <w:tc>
          <w:tcPr>
            <w:tcW w:w="1350" w:type="dxa"/>
            <w:tcBorders>
              <w:top w:val="nil"/>
              <w:left w:val="nil"/>
              <w:bottom w:val="single" w:sz="4" w:space="0" w:color="auto"/>
              <w:right w:val="single" w:sz="4" w:space="0" w:color="auto"/>
            </w:tcBorders>
            <w:shd w:val="clear" w:color="auto" w:fill="auto"/>
            <w:vAlign w:val="center"/>
            <w:hideMark/>
          </w:tcPr>
          <w:p w14:paraId="3FC73D2A"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5982505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775122D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27E025C" w14:textId="77777777" w:rsidTr="00040726">
        <w:trPr>
          <w:trHeight w:val="188"/>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048B03F"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15</w:t>
            </w:r>
          </w:p>
        </w:tc>
        <w:tc>
          <w:tcPr>
            <w:tcW w:w="4860" w:type="dxa"/>
            <w:tcBorders>
              <w:top w:val="nil"/>
              <w:left w:val="nil"/>
              <w:bottom w:val="single" w:sz="4" w:space="0" w:color="auto"/>
              <w:right w:val="single" w:sz="4" w:space="0" w:color="auto"/>
            </w:tcBorders>
            <w:shd w:val="clear" w:color="auto" w:fill="auto"/>
            <w:vAlign w:val="center"/>
            <w:hideMark/>
          </w:tcPr>
          <w:p w14:paraId="0F9E3D2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Defined-benefit pension fund net assets</w:t>
            </w:r>
          </w:p>
        </w:tc>
        <w:tc>
          <w:tcPr>
            <w:tcW w:w="1350" w:type="dxa"/>
            <w:tcBorders>
              <w:top w:val="nil"/>
              <w:left w:val="nil"/>
              <w:bottom w:val="single" w:sz="4" w:space="0" w:color="auto"/>
              <w:right w:val="single" w:sz="4" w:space="0" w:color="auto"/>
            </w:tcBorders>
            <w:shd w:val="clear" w:color="auto" w:fill="auto"/>
            <w:vAlign w:val="center"/>
            <w:hideMark/>
          </w:tcPr>
          <w:p w14:paraId="449BBF1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25FF376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AFDB7B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5ACFD51" w14:textId="77777777" w:rsidTr="00040726">
        <w:trPr>
          <w:trHeight w:val="179"/>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72D4835"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16</w:t>
            </w:r>
          </w:p>
        </w:tc>
        <w:tc>
          <w:tcPr>
            <w:tcW w:w="4860" w:type="dxa"/>
            <w:tcBorders>
              <w:top w:val="nil"/>
              <w:left w:val="nil"/>
              <w:bottom w:val="single" w:sz="4" w:space="0" w:color="auto"/>
              <w:right w:val="single" w:sz="4" w:space="0" w:color="auto"/>
            </w:tcBorders>
            <w:shd w:val="clear" w:color="auto" w:fill="auto"/>
            <w:vAlign w:val="center"/>
            <w:hideMark/>
          </w:tcPr>
          <w:p w14:paraId="5F37E95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Investments in own shares (if not already netted off paid-up capital on reported balance sheet)</w:t>
            </w:r>
          </w:p>
        </w:tc>
        <w:tc>
          <w:tcPr>
            <w:tcW w:w="1350" w:type="dxa"/>
            <w:tcBorders>
              <w:top w:val="nil"/>
              <w:left w:val="nil"/>
              <w:bottom w:val="single" w:sz="4" w:space="0" w:color="auto"/>
              <w:right w:val="single" w:sz="4" w:space="0" w:color="auto"/>
            </w:tcBorders>
            <w:shd w:val="clear" w:color="auto" w:fill="auto"/>
            <w:vAlign w:val="center"/>
            <w:hideMark/>
          </w:tcPr>
          <w:p w14:paraId="7F001934" w14:textId="77777777" w:rsidR="004C1CA7" w:rsidRPr="001D70E9" w:rsidRDefault="004C1CA7" w:rsidP="00040726">
            <w:pPr>
              <w:overflowPunct/>
              <w:autoSpaceDE/>
              <w:autoSpaceDN/>
              <w:adjustRightInd/>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41D3D53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76A7FD4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A9D4AE6" w14:textId="77777777" w:rsidTr="00040726">
        <w:trPr>
          <w:trHeight w:val="6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87EC299"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lastRenderedPageBreak/>
              <w:t>17</w:t>
            </w:r>
          </w:p>
        </w:tc>
        <w:tc>
          <w:tcPr>
            <w:tcW w:w="4860" w:type="dxa"/>
            <w:tcBorders>
              <w:top w:val="nil"/>
              <w:left w:val="nil"/>
              <w:bottom w:val="single" w:sz="4" w:space="0" w:color="auto"/>
              <w:right w:val="single" w:sz="4" w:space="0" w:color="auto"/>
            </w:tcBorders>
            <w:shd w:val="clear" w:color="auto" w:fill="auto"/>
            <w:vAlign w:val="center"/>
            <w:hideMark/>
          </w:tcPr>
          <w:p w14:paraId="31FC4DE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Reciprocal </w:t>
            </w:r>
            <w:proofErr w:type="gramStart"/>
            <w:r w:rsidRPr="001D70E9">
              <w:rPr>
                <w:color w:val="000000"/>
                <w:sz w:val="24"/>
                <w:szCs w:val="24"/>
                <w:lang w:val="en-CA" w:eastAsia="en-CA"/>
              </w:rPr>
              <w:t>cross-holdings</w:t>
            </w:r>
            <w:proofErr w:type="gramEnd"/>
            <w:r w:rsidRPr="001D70E9">
              <w:rPr>
                <w:color w:val="000000"/>
                <w:sz w:val="24"/>
                <w:szCs w:val="24"/>
                <w:lang w:val="en-CA" w:eastAsia="en-CA"/>
              </w:rPr>
              <w:t xml:space="preserve"> in common equity</w:t>
            </w:r>
          </w:p>
        </w:tc>
        <w:tc>
          <w:tcPr>
            <w:tcW w:w="1350" w:type="dxa"/>
            <w:tcBorders>
              <w:top w:val="nil"/>
              <w:left w:val="nil"/>
              <w:bottom w:val="single" w:sz="4" w:space="0" w:color="auto"/>
              <w:right w:val="single" w:sz="4" w:space="0" w:color="auto"/>
            </w:tcBorders>
            <w:shd w:val="clear" w:color="auto" w:fill="auto"/>
            <w:vAlign w:val="center"/>
            <w:hideMark/>
          </w:tcPr>
          <w:p w14:paraId="3746A876"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2CB97A2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435" w:type="dxa"/>
            <w:tcBorders>
              <w:top w:val="nil"/>
              <w:left w:val="nil"/>
              <w:bottom w:val="single" w:sz="4" w:space="0" w:color="auto"/>
              <w:right w:val="single" w:sz="4" w:space="0" w:color="auto"/>
            </w:tcBorders>
            <w:shd w:val="clear" w:color="auto" w:fill="auto"/>
            <w:vAlign w:val="center"/>
            <w:hideMark/>
          </w:tcPr>
          <w:p w14:paraId="6290085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3D0B701" w14:textId="77777777" w:rsidTr="00040726">
        <w:trPr>
          <w:trHeight w:val="125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F4F2A1B"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18</w:t>
            </w:r>
          </w:p>
        </w:tc>
        <w:tc>
          <w:tcPr>
            <w:tcW w:w="4860" w:type="dxa"/>
            <w:tcBorders>
              <w:top w:val="nil"/>
              <w:left w:val="nil"/>
              <w:bottom w:val="single" w:sz="4" w:space="0" w:color="auto"/>
              <w:right w:val="single" w:sz="4" w:space="0" w:color="auto"/>
            </w:tcBorders>
            <w:shd w:val="clear" w:color="auto" w:fill="auto"/>
            <w:vAlign w:val="center"/>
            <w:hideMark/>
          </w:tcPr>
          <w:p w14:paraId="6B0F0B6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Investments in the capital of banking, financial and insurance entities that are outside the scope of regulatory consolidation, net of eligible short positions, where the bank does not own more than 10% of the issued share capital (amount above 10% threshold)</w:t>
            </w:r>
          </w:p>
        </w:tc>
        <w:tc>
          <w:tcPr>
            <w:tcW w:w="1350" w:type="dxa"/>
            <w:tcBorders>
              <w:top w:val="nil"/>
              <w:left w:val="nil"/>
              <w:bottom w:val="single" w:sz="4" w:space="0" w:color="auto"/>
              <w:right w:val="single" w:sz="4" w:space="0" w:color="auto"/>
            </w:tcBorders>
            <w:shd w:val="clear" w:color="auto" w:fill="auto"/>
            <w:vAlign w:val="center"/>
            <w:hideMark/>
          </w:tcPr>
          <w:p w14:paraId="3B352DB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02284B82"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435" w:type="dxa"/>
            <w:tcBorders>
              <w:top w:val="nil"/>
              <w:left w:val="nil"/>
              <w:bottom w:val="single" w:sz="4" w:space="0" w:color="auto"/>
              <w:right w:val="single" w:sz="4" w:space="0" w:color="auto"/>
            </w:tcBorders>
            <w:shd w:val="clear" w:color="auto" w:fill="auto"/>
            <w:vAlign w:val="center"/>
            <w:hideMark/>
          </w:tcPr>
          <w:p w14:paraId="5EE5754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D6E2EC3" w14:textId="77777777" w:rsidTr="00040726">
        <w:trPr>
          <w:trHeight w:val="1385"/>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1909712A"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19</w:t>
            </w:r>
          </w:p>
        </w:tc>
        <w:tc>
          <w:tcPr>
            <w:tcW w:w="4860" w:type="dxa"/>
            <w:tcBorders>
              <w:top w:val="nil"/>
              <w:left w:val="nil"/>
              <w:bottom w:val="single" w:sz="4" w:space="0" w:color="auto"/>
              <w:right w:val="single" w:sz="4" w:space="0" w:color="auto"/>
            </w:tcBorders>
            <w:shd w:val="clear" w:color="auto" w:fill="auto"/>
            <w:vAlign w:val="center"/>
            <w:hideMark/>
          </w:tcPr>
          <w:p w14:paraId="1A471CE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Significant investments in the common stock of banking, financial and insurance entities that are outside the scope of regulatory consolidation, net of eligible short positions (amount above 10% threshold)</w:t>
            </w:r>
          </w:p>
        </w:tc>
        <w:tc>
          <w:tcPr>
            <w:tcW w:w="1350" w:type="dxa"/>
            <w:tcBorders>
              <w:top w:val="nil"/>
              <w:left w:val="nil"/>
              <w:bottom w:val="single" w:sz="4" w:space="0" w:color="auto"/>
              <w:right w:val="single" w:sz="4" w:space="0" w:color="auto"/>
            </w:tcBorders>
            <w:shd w:val="clear" w:color="auto" w:fill="auto"/>
            <w:vAlign w:val="center"/>
            <w:hideMark/>
          </w:tcPr>
          <w:p w14:paraId="352C3F5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7D87487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9F314B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B8DED81" w14:textId="77777777" w:rsidTr="00040726">
        <w:trPr>
          <w:trHeight w:val="521"/>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7049B7F"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20</w:t>
            </w:r>
          </w:p>
        </w:tc>
        <w:tc>
          <w:tcPr>
            <w:tcW w:w="4860" w:type="dxa"/>
            <w:tcBorders>
              <w:top w:val="nil"/>
              <w:left w:val="nil"/>
              <w:bottom w:val="single" w:sz="4" w:space="0" w:color="auto"/>
              <w:right w:val="single" w:sz="4" w:space="0" w:color="auto"/>
            </w:tcBorders>
            <w:shd w:val="clear" w:color="auto" w:fill="auto"/>
            <w:vAlign w:val="center"/>
            <w:hideMark/>
          </w:tcPr>
          <w:p w14:paraId="66CE3ADD"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Mortgage servicing </w:t>
            </w:r>
            <w:proofErr w:type="gramStart"/>
            <w:r w:rsidRPr="001D70E9">
              <w:rPr>
                <w:color w:val="000000"/>
                <w:sz w:val="24"/>
                <w:szCs w:val="24"/>
                <w:lang w:val="en-CA" w:eastAsia="en-CA"/>
              </w:rPr>
              <w:t>rights(</w:t>
            </w:r>
            <w:proofErr w:type="gramEnd"/>
            <w:r w:rsidRPr="001D70E9">
              <w:rPr>
                <w:color w:val="000000"/>
                <w:sz w:val="24"/>
                <w:szCs w:val="24"/>
                <w:lang w:val="en-CA" w:eastAsia="en-CA"/>
              </w:rPr>
              <w:t>amount above 10% threshold)</w:t>
            </w:r>
          </w:p>
        </w:tc>
        <w:tc>
          <w:tcPr>
            <w:tcW w:w="1350" w:type="dxa"/>
            <w:tcBorders>
              <w:top w:val="nil"/>
              <w:left w:val="nil"/>
              <w:bottom w:val="single" w:sz="4" w:space="0" w:color="auto"/>
              <w:right w:val="single" w:sz="4" w:space="0" w:color="auto"/>
            </w:tcBorders>
            <w:shd w:val="clear" w:color="auto" w:fill="auto"/>
            <w:vAlign w:val="center"/>
            <w:hideMark/>
          </w:tcPr>
          <w:p w14:paraId="10B5276D"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 xml:space="preserve">      </w:t>
            </w:r>
            <w:r>
              <w:rPr>
                <w:color w:val="000000"/>
                <w:sz w:val="24"/>
                <w:szCs w:val="24"/>
                <w:lang w:val="en-CA" w:eastAsia="en-CA"/>
              </w:rPr>
              <w:t xml:space="preserve">       </w:t>
            </w:r>
            <w:r w:rsidRPr="001D70E9">
              <w:rPr>
                <w:color w:val="000000"/>
                <w:sz w:val="24"/>
                <w:szCs w:val="24"/>
                <w:lang w:val="en-CA" w:eastAsia="en-CA"/>
              </w:rPr>
              <w:t xml:space="preserve">  -          </w:t>
            </w:r>
            <w:r>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10B62CB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37DEDB4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DDE42EC" w14:textId="77777777" w:rsidTr="00040726">
        <w:trPr>
          <w:trHeight w:val="773"/>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EDD641A"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21</w:t>
            </w:r>
          </w:p>
        </w:tc>
        <w:tc>
          <w:tcPr>
            <w:tcW w:w="4860" w:type="dxa"/>
            <w:tcBorders>
              <w:top w:val="nil"/>
              <w:left w:val="nil"/>
              <w:bottom w:val="single" w:sz="4" w:space="0" w:color="auto"/>
              <w:right w:val="single" w:sz="4" w:space="0" w:color="auto"/>
            </w:tcBorders>
            <w:shd w:val="clear" w:color="auto" w:fill="auto"/>
            <w:vAlign w:val="center"/>
            <w:hideMark/>
          </w:tcPr>
          <w:p w14:paraId="5E56053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Deferred tax assets arising from temporary </w:t>
            </w:r>
            <w:proofErr w:type="gramStart"/>
            <w:r w:rsidRPr="001D70E9">
              <w:rPr>
                <w:color w:val="000000"/>
                <w:sz w:val="24"/>
                <w:szCs w:val="24"/>
                <w:lang w:val="en-CA" w:eastAsia="en-CA"/>
              </w:rPr>
              <w:t>differences(</w:t>
            </w:r>
            <w:proofErr w:type="gramEnd"/>
            <w:r w:rsidRPr="001D70E9">
              <w:rPr>
                <w:color w:val="000000"/>
                <w:sz w:val="24"/>
                <w:szCs w:val="24"/>
                <w:lang w:val="en-CA" w:eastAsia="en-CA"/>
              </w:rPr>
              <w:t>amount above 10% threshold, net of related tax liability)</w:t>
            </w:r>
          </w:p>
        </w:tc>
        <w:tc>
          <w:tcPr>
            <w:tcW w:w="1350" w:type="dxa"/>
            <w:tcBorders>
              <w:top w:val="nil"/>
              <w:left w:val="nil"/>
              <w:bottom w:val="single" w:sz="4" w:space="0" w:color="auto"/>
              <w:right w:val="single" w:sz="4" w:space="0" w:color="auto"/>
            </w:tcBorders>
            <w:shd w:val="clear" w:color="auto" w:fill="auto"/>
            <w:vAlign w:val="center"/>
            <w:hideMark/>
          </w:tcPr>
          <w:p w14:paraId="25124182"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w:t>
            </w:r>
          </w:p>
        </w:tc>
        <w:tc>
          <w:tcPr>
            <w:tcW w:w="1350" w:type="dxa"/>
            <w:tcBorders>
              <w:top w:val="nil"/>
              <w:left w:val="nil"/>
              <w:bottom w:val="single" w:sz="4" w:space="0" w:color="auto"/>
              <w:right w:val="single" w:sz="4" w:space="0" w:color="auto"/>
            </w:tcBorders>
            <w:shd w:val="clear" w:color="auto" w:fill="auto"/>
            <w:vAlign w:val="center"/>
            <w:hideMark/>
          </w:tcPr>
          <w:p w14:paraId="4867D2B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520CBDE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AE221A0" w14:textId="77777777" w:rsidTr="00040726">
        <w:trPr>
          <w:trHeight w:val="29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2BA492D"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22</w:t>
            </w:r>
          </w:p>
        </w:tc>
        <w:tc>
          <w:tcPr>
            <w:tcW w:w="4860" w:type="dxa"/>
            <w:tcBorders>
              <w:top w:val="nil"/>
              <w:left w:val="nil"/>
              <w:bottom w:val="single" w:sz="4" w:space="0" w:color="auto"/>
              <w:right w:val="single" w:sz="4" w:space="0" w:color="auto"/>
            </w:tcBorders>
            <w:shd w:val="clear" w:color="auto" w:fill="auto"/>
            <w:vAlign w:val="center"/>
            <w:hideMark/>
          </w:tcPr>
          <w:p w14:paraId="1F961D5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Amount exceeding the 15% threshold</w:t>
            </w:r>
          </w:p>
        </w:tc>
        <w:tc>
          <w:tcPr>
            <w:tcW w:w="1350" w:type="dxa"/>
            <w:tcBorders>
              <w:top w:val="nil"/>
              <w:left w:val="nil"/>
              <w:bottom w:val="single" w:sz="4" w:space="0" w:color="auto"/>
              <w:right w:val="single" w:sz="4" w:space="0" w:color="auto"/>
            </w:tcBorders>
            <w:shd w:val="clear" w:color="auto" w:fill="auto"/>
            <w:vAlign w:val="center"/>
            <w:hideMark/>
          </w:tcPr>
          <w:p w14:paraId="5CF04BD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099ABB5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1011EDF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51CD5BD" w14:textId="77777777" w:rsidTr="00040726">
        <w:trPr>
          <w:trHeight w:val="6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030C041"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23</w:t>
            </w:r>
          </w:p>
        </w:tc>
        <w:tc>
          <w:tcPr>
            <w:tcW w:w="4860" w:type="dxa"/>
            <w:tcBorders>
              <w:top w:val="nil"/>
              <w:left w:val="nil"/>
              <w:bottom w:val="single" w:sz="4" w:space="0" w:color="auto"/>
              <w:right w:val="single" w:sz="4" w:space="0" w:color="auto"/>
            </w:tcBorders>
            <w:shd w:val="clear" w:color="auto" w:fill="auto"/>
            <w:vAlign w:val="center"/>
            <w:hideMark/>
          </w:tcPr>
          <w:p w14:paraId="194C623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significant investments in the common stock of financial entities</w:t>
            </w:r>
          </w:p>
        </w:tc>
        <w:tc>
          <w:tcPr>
            <w:tcW w:w="1350" w:type="dxa"/>
            <w:tcBorders>
              <w:top w:val="nil"/>
              <w:left w:val="nil"/>
              <w:bottom w:val="single" w:sz="4" w:space="0" w:color="auto"/>
              <w:right w:val="single" w:sz="4" w:space="0" w:color="auto"/>
            </w:tcBorders>
            <w:shd w:val="clear" w:color="auto" w:fill="auto"/>
            <w:vAlign w:val="center"/>
            <w:hideMark/>
          </w:tcPr>
          <w:p w14:paraId="2261BC44"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1A804B1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6CD17F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43282EC" w14:textId="77777777" w:rsidTr="00040726">
        <w:trPr>
          <w:trHeight w:val="315"/>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E40954A"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24</w:t>
            </w:r>
          </w:p>
        </w:tc>
        <w:tc>
          <w:tcPr>
            <w:tcW w:w="4860" w:type="dxa"/>
            <w:tcBorders>
              <w:top w:val="nil"/>
              <w:left w:val="nil"/>
              <w:bottom w:val="single" w:sz="4" w:space="0" w:color="auto"/>
              <w:right w:val="single" w:sz="4" w:space="0" w:color="auto"/>
            </w:tcBorders>
            <w:shd w:val="clear" w:color="auto" w:fill="auto"/>
            <w:vAlign w:val="center"/>
            <w:hideMark/>
          </w:tcPr>
          <w:p w14:paraId="0EAC2BB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mortgage servicing rights</w:t>
            </w:r>
          </w:p>
        </w:tc>
        <w:tc>
          <w:tcPr>
            <w:tcW w:w="1350" w:type="dxa"/>
            <w:tcBorders>
              <w:top w:val="nil"/>
              <w:left w:val="nil"/>
              <w:bottom w:val="single" w:sz="4" w:space="0" w:color="auto"/>
              <w:right w:val="single" w:sz="4" w:space="0" w:color="auto"/>
            </w:tcBorders>
            <w:shd w:val="clear" w:color="auto" w:fill="auto"/>
            <w:vAlign w:val="center"/>
            <w:hideMark/>
          </w:tcPr>
          <w:p w14:paraId="7E162B26"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338253EE"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29DAA68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9982C88" w14:textId="77777777" w:rsidTr="00040726">
        <w:trPr>
          <w:trHeight w:val="6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0D56C54"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25</w:t>
            </w:r>
          </w:p>
        </w:tc>
        <w:tc>
          <w:tcPr>
            <w:tcW w:w="4860" w:type="dxa"/>
            <w:tcBorders>
              <w:top w:val="nil"/>
              <w:left w:val="nil"/>
              <w:bottom w:val="single" w:sz="4" w:space="0" w:color="auto"/>
              <w:right w:val="single" w:sz="4" w:space="0" w:color="auto"/>
            </w:tcBorders>
            <w:shd w:val="clear" w:color="auto" w:fill="auto"/>
            <w:vAlign w:val="center"/>
            <w:hideMark/>
          </w:tcPr>
          <w:p w14:paraId="76A9AF2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deferred tax assets arising from temporary differences</w:t>
            </w:r>
          </w:p>
        </w:tc>
        <w:tc>
          <w:tcPr>
            <w:tcW w:w="1350" w:type="dxa"/>
            <w:tcBorders>
              <w:top w:val="nil"/>
              <w:left w:val="nil"/>
              <w:bottom w:val="single" w:sz="4" w:space="0" w:color="auto"/>
              <w:right w:val="single" w:sz="4" w:space="0" w:color="auto"/>
            </w:tcBorders>
            <w:shd w:val="clear" w:color="auto" w:fill="auto"/>
            <w:vAlign w:val="center"/>
            <w:hideMark/>
          </w:tcPr>
          <w:p w14:paraId="66B04BF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145E5D5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033028C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DCED05C" w14:textId="77777777" w:rsidTr="00040726">
        <w:trPr>
          <w:trHeight w:val="6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DF154FF"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26</w:t>
            </w:r>
          </w:p>
        </w:tc>
        <w:tc>
          <w:tcPr>
            <w:tcW w:w="4860" w:type="dxa"/>
            <w:tcBorders>
              <w:top w:val="nil"/>
              <w:left w:val="nil"/>
              <w:bottom w:val="single" w:sz="4" w:space="0" w:color="auto"/>
              <w:right w:val="single" w:sz="4" w:space="0" w:color="auto"/>
            </w:tcBorders>
            <w:shd w:val="clear" w:color="auto" w:fill="auto"/>
            <w:vAlign w:val="center"/>
            <w:hideMark/>
          </w:tcPr>
          <w:p w14:paraId="7E56813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National specific regulatory adjustments (26a+26b+26c+26d)</w:t>
            </w:r>
          </w:p>
        </w:tc>
        <w:tc>
          <w:tcPr>
            <w:tcW w:w="1350" w:type="dxa"/>
            <w:tcBorders>
              <w:top w:val="nil"/>
              <w:left w:val="nil"/>
              <w:bottom w:val="single" w:sz="4" w:space="0" w:color="auto"/>
              <w:right w:val="single" w:sz="4" w:space="0" w:color="auto"/>
            </w:tcBorders>
            <w:shd w:val="clear" w:color="auto" w:fill="auto"/>
            <w:vAlign w:val="center"/>
            <w:hideMark/>
          </w:tcPr>
          <w:p w14:paraId="57A81F3A"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67C2E4D6"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3AD1CDB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9568A18" w14:textId="77777777" w:rsidTr="00040726">
        <w:trPr>
          <w:trHeight w:val="5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21C2733"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26b</w:t>
            </w:r>
          </w:p>
        </w:tc>
        <w:tc>
          <w:tcPr>
            <w:tcW w:w="4860" w:type="dxa"/>
            <w:tcBorders>
              <w:top w:val="nil"/>
              <w:left w:val="nil"/>
              <w:bottom w:val="single" w:sz="4" w:space="0" w:color="auto"/>
              <w:right w:val="single" w:sz="4" w:space="0" w:color="auto"/>
            </w:tcBorders>
            <w:shd w:val="clear" w:color="auto" w:fill="auto"/>
            <w:vAlign w:val="center"/>
            <w:hideMark/>
          </w:tcPr>
          <w:p w14:paraId="2D1897D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Investments in the equity capital of unconsolidated non-financial subsidiaries</w:t>
            </w:r>
          </w:p>
        </w:tc>
        <w:tc>
          <w:tcPr>
            <w:tcW w:w="1350" w:type="dxa"/>
            <w:tcBorders>
              <w:top w:val="nil"/>
              <w:left w:val="nil"/>
              <w:bottom w:val="single" w:sz="4" w:space="0" w:color="auto"/>
              <w:right w:val="single" w:sz="4" w:space="0" w:color="auto"/>
            </w:tcBorders>
            <w:shd w:val="clear" w:color="auto" w:fill="auto"/>
            <w:vAlign w:val="center"/>
            <w:hideMark/>
          </w:tcPr>
          <w:p w14:paraId="2385AB16"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5A012343"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78B2AAF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3DF3388" w14:textId="77777777" w:rsidTr="00040726">
        <w:trPr>
          <w:trHeight w:val="78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7FCA100"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26c</w:t>
            </w:r>
          </w:p>
        </w:tc>
        <w:tc>
          <w:tcPr>
            <w:tcW w:w="4860" w:type="dxa"/>
            <w:tcBorders>
              <w:top w:val="nil"/>
              <w:left w:val="nil"/>
              <w:bottom w:val="single" w:sz="4" w:space="0" w:color="auto"/>
              <w:right w:val="single" w:sz="4" w:space="0" w:color="auto"/>
            </w:tcBorders>
            <w:shd w:val="clear" w:color="auto" w:fill="auto"/>
            <w:vAlign w:val="center"/>
            <w:hideMark/>
          </w:tcPr>
          <w:p w14:paraId="01B92E3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Shortfall in the equity capital of majority owned financial entities which have not been consolidated with the bank</w:t>
            </w:r>
          </w:p>
        </w:tc>
        <w:tc>
          <w:tcPr>
            <w:tcW w:w="1350" w:type="dxa"/>
            <w:tcBorders>
              <w:top w:val="nil"/>
              <w:left w:val="nil"/>
              <w:bottom w:val="single" w:sz="4" w:space="0" w:color="auto"/>
              <w:right w:val="single" w:sz="4" w:space="0" w:color="auto"/>
            </w:tcBorders>
            <w:shd w:val="clear" w:color="auto" w:fill="auto"/>
            <w:vAlign w:val="center"/>
            <w:hideMark/>
          </w:tcPr>
          <w:p w14:paraId="382F4DD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09CB45F3"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56472EE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4D3EC16" w14:textId="77777777" w:rsidTr="00040726">
        <w:trPr>
          <w:trHeight w:val="485"/>
        </w:trPr>
        <w:tc>
          <w:tcPr>
            <w:tcW w:w="645" w:type="dxa"/>
            <w:vMerge w:val="restart"/>
            <w:tcBorders>
              <w:top w:val="nil"/>
              <w:left w:val="single" w:sz="4" w:space="0" w:color="auto"/>
              <w:bottom w:val="single" w:sz="4" w:space="0" w:color="auto"/>
              <w:right w:val="single" w:sz="4" w:space="0" w:color="auto"/>
            </w:tcBorders>
            <w:shd w:val="clear" w:color="auto" w:fill="auto"/>
            <w:vAlign w:val="center"/>
            <w:hideMark/>
          </w:tcPr>
          <w:p w14:paraId="24C89331"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26d</w:t>
            </w:r>
          </w:p>
        </w:tc>
        <w:tc>
          <w:tcPr>
            <w:tcW w:w="4860" w:type="dxa"/>
            <w:tcBorders>
              <w:top w:val="nil"/>
              <w:left w:val="nil"/>
              <w:bottom w:val="single" w:sz="4" w:space="0" w:color="auto"/>
              <w:right w:val="single" w:sz="4" w:space="0" w:color="auto"/>
            </w:tcBorders>
            <w:shd w:val="clear" w:color="auto" w:fill="auto"/>
            <w:vAlign w:val="center"/>
            <w:hideMark/>
          </w:tcPr>
          <w:p w14:paraId="3DC38DC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Unamortised pension funds expenditures</w:t>
            </w:r>
          </w:p>
        </w:tc>
        <w:tc>
          <w:tcPr>
            <w:tcW w:w="1350" w:type="dxa"/>
            <w:tcBorders>
              <w:top w:val="nil"/>
              <w:left w:val="nil"/>
              <w:bottom w:val="single" w:sz="4" w:space="0" w:color="auto"/>
              <w:right w:val="single" w:sz="4" w:space="0" w:color="auto"/>
            </w:tcBorders>
            <w:shd w:val="clear" w:color="auto" w:fill="auto"/>
            <w:vAlign w:val="center"/>
            <w:hideMark/>
          </w:tcPr>
          <w:p w14:paraId="1222D00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5C927F7E"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7B31E96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5D7AE1A" w14:textId="77777777" w:rsidTr="00040726">
        <w:trPr>
          <w:trHeight w:val="647"/>
        </w:trPr>
        <w:tc>
          <w:tcPr>
            <w:tcW w:w="645" w:type="dxa"/>
            <w:vMerge/>
            <w:tcBorders>
              <w:top w:val="nil"/>
              <w:left w:val="single" w:sz="4" w:space="0" w:color="auto"/>
              <w:bottom w:val="single" w:sz="4" w:space="0" w:color="auto"/>
              <w:right w:val="single" w:sz="4" w:space="0" w:color="auto"/>
            </w:tcBorders>
            <w:vAlign w:val="center"/>
            <w:hideMark/>
          </w:tcPr>
          <w:p w14:paraId="1114CF8D"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666B199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Regulatory Adjustments Applied to Common Equity Tier 1 in respect of Amounts Subject to Pre-Basel III Treatment</w:t>
            </w:r>
          </w:p>
        </w:tc>
        <w:tc>
          <w:tcPr>
            <w:tcW w:w="1350" w:type="dxa"/>
            <w:tcBorders>
              <w:top w:val="nil"/>
              <w:left w:val="nil"/>
              <w:bottom w:val="single" w:sz="4" w:space="0" w:color="auto"/>
              <w:right w:val="single" w:sz="4" w:space="0" w:color="auto"/>
            </w:tcBorders>
            <w:shd w:val="clear" w:color="auto" w:fill="auto"/>
            <w:vAlign w:val="center"/>
            <w:hideMark/>
          </w:tcPr>
          <w:p w14:paraId="35C230C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75D69B4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5101A8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22534E1" w14:textId="77777777" w:rsidTr="00040726">
        <w:trPr>
          <w:trHeight w:val="881"/>
        </w:trPr>
        <w:tc>
          <w:tcPr>
            <w:tcW w:w="645" w:type="dxa"/>
            <w:vMerge/>
            <w:tcBorders>
              <w:top w:val="nil"/>
              <w:left w:val="single" w:sz="4" w:space="0" w:color="auto"/>
              <w:bottom w:val="single" w:sz="4" w:space="0" w:color="auto"/>
              <w:right w:val="single" w:sz="4" w:space="0" w:color="auto"/>
            </w:tcBorders>
            <w:vAlign w:val="center"/>
            <w:hideMark/>
          </w:tcPr>
          <w:p w14:paraId="0E3EE03C"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1D2D078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[INSERT TYPE OF ADJUSTMENT] For example: filtering out of </w:t>
            </w:r>
            <w:proofErr w:type="spellStart"/>
            <w:r w:rsidRPr="001D70E9">
              <w:rPr>
                <w:color w:val="000000"/>
                <w:sz w:val="24"/>
                <w:szCs w:val="24"/>
                <w:lang w:val="en-CA" w:eastAsia="en-CA"/>
              </w:rPr>
              <w:t>unrealised</w:t>
            </w:r>
            <w:proofErr w:type="spellEnd"/>
            <w:r w:rsidRPr="001D70E9">
              <w:rPr>
                <w:color w:val="000000"/>
                <w:sz w:val="24"/>
                <w:szCs w:val="24"/>
                <w:lang w:val="en-CA" w:eastAsia="en-CA"/>
              </w:rPr>
              <w:t xml:space="preserve"> losses on AFS debt securities (not relevant in Indian context)</w:t>
            </w:r>
          </w:p>
        </w:tc>
        <w:tc>
          <w:tcPr>
            <w:tcW w:w="1350" w:type="dxa"/>
            <w:tcBorders>
              <w:top w:val="nil"/>
              <w:left w:val="nil"/>
              <w:bottom w:val="single" w:sz="4" w:space="0" w:color="auto"/>
              <w:right w:val="single" w:sz="4" w:space="0" w:color="auto"/>
            </w:tcBorders>
            <w:shd w:val="clear" w:color="auto" w:fill="auto"/>
            <w:vAlign w:val="center"/>
            <w:hideMark/>
          </w:tcPr>
          <w:p w14:paraId="6386CCE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4570050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757E879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767E2BB" w14:textId="77777777" w:rsidTr="00040726">
        <w:trPr>
          <w:trHeight w:val="485"/>
        </w:trPr>
        <w:tc>
          <w:tcPr>
            <w:tcW w:w="645" w:type="dxa"/>
            <w:vMerge/>
            <w:tcBorders>
              <w:top w:val="nil"/>
              <w:left w:val="single" w:sz="4" w:space="0" w:color="auto"/>
              <w:bottom w:val="single" w:sz="4" w:space="0" w:color="auto"/>
              <w:right w:val="single" w:sz="4" w:space="0" w:color="auto"/>
            </w:tcBorders>
            <w:vAlign w:val="center"/>
            <w:hideMark/>
          </w:tcPr>
          <w:p w14:paraId="386A610C"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6419E3D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[INSERT TYPE OF ADJUSTMENT]</w:t>
            </w:r>
          </w:p>
        </w:tc>
        <w:tc>
          <w:tcPr>
            <w:tcW w:w="1350" w:type="dxa"/>
            <w:tcBorders>
              <w:top w:val="nil"/>
              <w:left w:val="nil"/>
              <w:bottom w:val="single" w:sz="4" w:space="0" w:color="auto"/>
              <w:right w:val="single" w:sz="4" w:space="0" w:color="auto"/>
            </w:tcBorders>
            <w:shd w:val="clear" w:color="auto" w:fill="auto"/>
            <w:vAlign w:val="center"/>
            <w:hideMark/>
          </w:tcPr>
          <w:p w14:paraId="5047CC0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6D6B4FEE"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8E6556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867D4E9" w14:textId="77777777" w:rsidTr="00040726">
        <w:trPr>
          <w:trHeight w:val="80"/>
        </w:trPr>
        <w:tc>
          <w:tcPr>
            <w:tcW w:w="645" w:type="dxa"/>
            <w:vMerge/>
            <w:tcBorders>
              <w:top w:val="nil"/>
              <w:left w:val="single" w:sz="4" w:space="0" w:color="auto"/>
              <w:bottom w:val="single" w:sz="4" w:space="0" w:color="auto"/>
              <w:right w:val="single" w:sz="4" w:space="0" w:color="auto"/>
            </w:tcBorders>
            <w:vAlign w:val="center"/>
            <w:hideMark/>
          </w:tcPr>
          <w:p w14:paraId="7771F93F"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6A73D38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[INSERT TYPE OF ADJUSTMENT]</w:t>
            </w:r>
          </w:p>
        </w:tc>
        <w:tc>
          <w:tcPr>
            <w:tcW w:w="1350" w:type="dxa"/>
            <w:tcBorders>
              <w:top w:val="nil"/>
              <w:left w:val="nil"/>
              <w:bottom w:val="single" w:sz="4" w:space="0" w:color="auto"/>
              <w:right w:val="single" w:sz="4" w:space="0" w:color="auto"/>
            </w:tcBorders>
            <w:shd w:val="clear" w:color="auto" w:fill="auto"/>
            <w:vAlign w:val="center"/>
            <w:hideMark/>
          </w:tcPr>
          <w:p w14:paraId="7885F22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45A87AE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6B8069CD"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7B6EE51" w14:textId="77777777" w:rsidTr="00040726">
        <w:trPr>
          <w:trHeight w:val="80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25FB6CE"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lastRenderedPageBreak/>
              <w:t>27</w:t>
            </w:r>
          </w:p>
        </w:tc>
        <w:tc>
          <w:tcPr>
            <w:tcW w:w="4860" w:type="dxa"/>
            <w:tcBorders>
              <w:top w:val="nil"/>
              <w:left w:val="nil"/>
              <w:bottom w:val="single" w:sz="4" w:space="0" w:color="auto"/>
              <w:right w:val="single" w:sz="4" w:space="0" w:color="auto"/>
            </w:tcBorders>
            <w:shd w:val="clear" w:color="auto" w:fill="auto"/>
            <w:vAlign w:val="center"/>
            <w:hideMark/>
          </w:tcPr>
          <w:p w14:paraId="2CF4AD3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Regulatory adjustments applied to Common Equity Tier 1 due to insufficient Additional Tier 1 and Tier 2 to cover deductions</w:t>
            </w:r>
          </w:p>
        </w:tc>
        <w:tc>
          <w:tcPr>
            <w:tcW w:w="1350" w:type="dxa"/>
            <w:tcBorders>
              <w:top w:val="nil"/>
              <w:left w:val="nil"/>
              <w:bottom w:val="single" w:sz="4" w:space="0" w:color="auto"/>
              <w:right w:val="single" w:sz="4" w:space="0" w:color="auto"/>
            </w:tcBorders>
            <w:shd w:val="clear" w:color="auto" w:fill="auto"/>
            <w:vAlign w:val="center"/>
            <w:hideMark/>
          </w:tcPr>
          <w:p w14:paraId="41A6E40A"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3A872D2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6EDCCD2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6B68B21" w14:textId="77777777" w:rsidTr="00040726">
        <w:trPr>
          <w:trHeight w:val="35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FE1663B"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28</w:t>
            </w:r>
          </w:p>
        </w:tc>
        <w:tc>
          <w:tcPr>
            <w:tcW w:w="4860" w:type="dxa"/>
            <w:tcBorders>
              <w:top w:val="nil"/>
              <w:left w:val="nil"/>
              <w:bottom w:val="single" w:sz="4" w:space="0" w:color="auto"/>
              <w:right w:val="single" w:sz="4" w:space="0" w:color="auto"/>
            </w:tcBorders>
            <w:shd w:val="clear" w:color="auto" w:fill="auto"/>
            <w:vAlign w:val="center"/>
            <w:hideMark/>
          </w:tcPr>
          <w:p w14:paraId="751B9FE0"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Total regulatory adjustments to Common equity Tier 1</w:t>
            </w:r>
          </w:p>
        </w:tc>
        <w:tc>
          <w:tcPr>
            <w:tcW w:w="1350" w:type="dxa"/>
            <w:tcBorders>
              <w:top w:val="nil"/>
              <w:left w:val="nil"/>
              <w:bottom w:val="single" w:sz="4" w:space="0" w:color="auto"/>
              <w:right w:val="single" w:sz="4" w:space="0" w:color="auto"/>
            </w:tcBorders>
            <w:shd w:val="clear" w:color="auto" w:fill="auto"/>
            <w:vAlign w:val="center"/>
            <w:hideMark/>
          </w:tcPr>
          <w:p w14:paraId="3FD1484A" w14:textId="77777777" w:rsidR="004C1CA7" w:rsidRPr="00AE09B8" w:rsidRDefault="004C1CA7" w:rsidP="00040726">
            <w:pPr>
              <w:overflowPunct/>
              <w:autoSpaceDE/>
              <w:autoSpaceDN/>
              <w:adjustRightInd/>
              <w:jc w:val="right"/>
              <w:textAlignment w:val="auto"/>
              <w:rPr>
                <w:bCs/>
                <w:color w:val="000000"/>
                <w:sz w:val="24"/>
                <w:szCs w:val="24"/>
                <w:lang w:val="en-CA" w:eastAsia="en-CA"/>
              </w:rPr>
            </w:pPr>
            <w:r>
              <w:rPr>
                <w:bCs/>
                <w:color w:val="000000"/>
                <w:sz w:val="24"/>
                <w:szCs w:val="24"/>
                <w:lang w:val="en-CA" w:eastAsia="en-CA"/>
              </w:rPr>
              <w:t>414,763</w:t>
            </w:r>
          </w:p>
        </w:tc>
        <w:tc>
          <w:tcPr>
            <w:tcW w:w="1350" w:type="dxa"/>
            <w:tcBorders>
              <w:top w:val="nil"/>
              <w:left w:val="nil"/>
              <w:bottom w:val="single" w:sz="4" w:space="0" w:color="auto"/>
              <w:right w:val="single" w:sz="4" w:space="0" w:color="auto"/>
            </w:tcBorders>
            <w:shd w:val="clear" w:color="auto" w:fill="auto"/>
            <w:vAlign w:val="center"/>
            <w:hideMark/>
          </w:tcPr>
          <w:p w14:paraId="5ACF18B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55F442E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9C2B8F9" w14:textId="77777777" w:rsidTr="00040726">
        <w:trPr>
          <w:trHeight w:val="24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4043F36"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29</w:t>
            </w:r>
          </w:p>
        </w:tc>
        <w:tc>
          <w:tcPr>
            <w:tcW w:w="4860" w:type="dxa"/>
            <w:tcBorders>
              <w:top w:val="nil"/>
              <w:left w:val="nil"/>
              <w:bottom w:val="single" w:sz="4" w:space="0" w:color="auto"/>
              <w:right w:val="single" w:sz="4" w:space="0" w:color="auto"/>
            </w:tcBorders>
            <w:shd w:val="clear" w:color="auto" w:fill="auto"/>
            <w:vAlign w:val="center"/>
            <w:hideMark/>
          </w:tcPr>
          <w:p w14:paraId="61F9ECBB"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Common Equity Tier 1 capital (CET1)</w:t>
            </w:r>
          </w:p>
        </w:tc>
        <w:tc>
          <w:tcPr>
            <w:tcW w:w="1350" w:type="dxa"/>
            <w:tcBorders>
              <w:top w:val="nil"/>
              <w:left w:val="nil"/>
              <w:bottom w:val="single" w:sz="4" w:space="0" w:color="auto"/>
              <w:right w:val="single" w:sz="4" w:space="0" w:color="auto"/>
            </w:tcBorders>
            <w:shd w:val="clear" w:color="auto" w:fill="auto"/>
            <w:vAlign w:val="center"/>
            <w:hideMark/>
          </w:tcPr>
          <w:p w14:paraId="4BFBB459" w14:textId="77777777" w:rsidR="004C1CA7" w:rsidRPr="001D70E9" w:rsidRDefault="004C1CA7" w:rsidP="00040726">
            <w:pPr>
              <w:overflowPunct/>
              <w:autoSpaceDE/>
              <w:autoSpaceDN/>
              <w:adjustRightInd/>
              <w:textAlignment w:val="auto"/>
              <w:rPr>
                <w:b/>
                <w:bCs/>
                <w:color w:val="000000"/>
                <w:sz w:val="24"/>
                <w:szCs w:val="24"/>
                <w:lang w:val="en-CA" w:eastAsia="en-CA"/>
              </w:rPr>
            </w:pPr>
            <w:r>
              <w:rPr>
                <w:b/>
                <w:bCs/>
                <w:color w:val="000000"/>
                <w:sz w:val="24"/>
                <w:szCs w:val="24"/>
                <w:lang w:val="en-CA" w:eastAsia="en-CA"/>
              </w:rPr>
              <w:t>17,108,994</w:t>
            </w:r>
            <w:r w:rsidRPr="001D70E9">
              <w:rPr>
                <w:b/>
                <w:bCs/>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1242A23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2154B57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FBB9D6C" w14:textId="77777777" w:rsidTr="00040726">
        <w:trPr>
          <w:trHeight w:val="315"/>
        </w:trPr>
        <w:tc>
          <w:tcPr>
            <w:tcW w:w="68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3F1660"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 xml:space="preserve">Additional Tier 1 </w:t>
            </w:r>
            <w:proofErr w:type="gramStart"/>
            <w:r w:rsidRPr="001D70E9">
              <w:rPr>
                <w:b/>
                <w:bCs/>
                <w:color w:val="000000"/>
                <w:sz w:val="24"/>
                <w:szCs w:val="24"/>
                <w:lang w:val="en-CA" w:eastAsia="en-CA"/>
              </w:rPr>
              <w:t>capital :</w:t>
            </w:r>
            <w:proofErr w:type="gramEnd"/>
            <w:r w:rsidRPr="001D70E9">
              <w:rPr>
                <w:b/>
                <w:bCs/>
                <w:color w:val="000000"/>
                <w:sz w:val="24"/>
                <w:szCs w:val="24"/>
                <w:lang w:val="en-CA" w:eastAsia="en-CA"/>
              </w:rPr>
              <w:t xml:space="preserve"> instruments</w:t>
            </w:r>
          </w:p>
        </w:tc>
        <w:tc>
          <w:tcPr>
            <w:tcW w:w="1350" w:type="dxa"/>
            <w:tcBorders>
              <w:top w:val="nil"/>
              <w:left w:val="nil"/>
              <w:bottom w:val="single" w:sz="4" w:space="0" w:color="auto"/>
              <w:right w:val="single" w:sz="4" w:space="0" w:color="auto"/>
            </w:tcBorders>
            <w:shd w:val="clear" w:color="auto" w:fill="auto"/>
            <w:vAlign w:val="center"/>
            <w:hideMark/>
          </w:tcPr>
          <w:p w14:paraId="654A4C9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1435" w:type="dxa"/>
            <w:tcBorders>
              <w:top w:val="nil"/>
              <w:left w:val="nil"/>
              <w:bottom w:val="single" w:sz="4" w:space="0" w:color="auto"/>
              <w:right w:val="single" w:sz="4" w:space="0" w:color="auto"/>
            </w:tcBorders>
            <w:shd w:val="clear" w:color="auto" w:fill="auto"/>
            <w:vAlign w:val="center"/>
            <w:hideMark/>
          </w:tcPr>
          <w:p w14:paraId="6E6A513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B3E7A91" w14:textId="77777777" w:rsidTr="00040726">
        <w:trPr>
          <w:trHeight w:val="71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B9339A2"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30</w:t>
            </w:r>
          </w:p>
        </w:tc>
        <w:tc>
          <w:tcPr>
            <w:tcW w:w="4860" w:type="dxa"/>
            <w:tcBorders>
              <w:top w:val="nil"/>
              <w:left w:val="nil"/>
              <w:bottom w:val="single" w:sz="4" w:space="0" w:color="auto"/>
              <w:right w:val="single" w:sz="4" w:space="0" w:color="auto"/>
            </w:tcBorders>
            <w:shd w:val="clear" w:color="auto" w:fill="auto"/>
            <w:vAlign w:val="center"/>
            <w:hideMark/>
          </w:tcPr>
          <w:p w14:paraId="3A16F05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Directly issued qualifying Additional Tier 1 instruments plus related stock surplus (share premium) (31+32)</w:t>
            </w:r>
          </w:p>
        </w:tc>
        <w:tc>
          <w:tcPr>
            <w:tcW w:w="1350" w:type="dxa"/>
            <w:tcBorders>
              <w:top w:val="nil"/>
              <w:left w:val="nil"/>
              <w:bottom w:val="single" w:sz="4" w:space="0" w:color="auto"/>
              <w:right w:val="single" w:sz="4" w:space="0" w:color="auto"/>
            </w:tcBorders>
            <w:shd w:val="clear" w:color="auto" w:fill="auto"/>
            <w:vAlign w:val="center"/>
            <w:hideMark/>
          </w:tcPr>
          <w:p w14:paraId="1D100AE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w:t>
            </w:r>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0B8042E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5294383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857B99F" w14:textId="77777777" w:rsidTr="00040726">
        <w:trPr>
          <w:trHeight w:val="69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6F0D090"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31</w:t>
            </w:r>
          </w:p>
        </w:tc>
        <w:tc>
          <w:tcPr>
            <w:tcW w:w="4860" w:type="dxa"/>
            <w:tcBorders>
              <w:top w:val="nil"/>
              <w:left w:val="nil"/>
              <w:bottom w:val="single" w:sz="4" w:space="0" w:color="auto"/>
              <w:right w:val="single" w:sz="4" w:space="0" w:color="auto"/>
            </w:tcBorders>
            <w:shd w:val="clear" w:color="auto" w:fill="auto"/>
            <w:vAlign w:val="center"/>
            <w:hideMark/>
          </w:tcPr>
          <w:p w14:paraId="1F7DED8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classified as equity under applicable accounting standards (Perpetual Non-Cumulative Preference Shares)</w:t>
            </w:r>
          </w:p>
        </w:tc>
        <w:tc>
          <w:tcPr>
            <w:tcW w:w="1350" w:type="dxa"/>
            <w:tcBorders>
              <w:top w:val="nil"/>
              <w:left w:val="nil"/>
              <w:bottom w:val="single" w:sz="4" w:space="0" w:color="auto"/>
              <w:right w:val="single" w:sz="4" w:space="0" w:color="auto"/>
            </w:tcBorders>
            <w:shd w:val="clear" w:color="auto" w:fill="auto"/>
            <w:vAlign w:val="center"/>
            <w:hideMark/>
          </w:tcPr>
          <w:p w14:paraId="3D0DCC8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556D10C4"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54291D5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5BD3267" w14:textId="77777777" w:rsidTr="00040726">
        <w:trPr>
          <w:trHeight w:val="575"/>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878DDE1"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32</w:t>
            </w:r>
          </w:p>
        </w:tc>
        <w:tc>
          <w:tcPr>
            <w:tcW w:w="4860" w:type="dxa"/>
            <w:tcBorders>
              <w:top w:val="nil"/>
              <w:left w:val="nil"/>
              <w:bottom w:val="single" w:sz="4" w:space="0" w:color="auto"/>
              <w:right w:val="single" w:sz="4" w:space="0" w:color="auto"/>
            </w:tcBorders>
            <w:shd w:val="clear" w:color="auto" w:fill="auto"/>
            <w:vAlign w:val="center"/>
            <w:hideMark/>
          </w:tcPr>
          <w:p w14:paraId="7FE4E7C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classified as liabilities under applicable accounting standards (Perpetual debt Instruments)</w:t>
            </w:r>
          </w:p>
        </w:tc>
        <w:tc>
          <w:tcPr>
            <w:tcW w:w="1350" w:type="dxa"/>
            <w:tcBorders>
              <w:top w:val="nil"/>
              <w:left w:val="nil"/>
              <w:bottom w:val="single" w:sz="4" w:space="0" w:color="auto"/>
              <w:right w:val="single" w:sz="4" w:space="0" w:color="auto"/>
            </w:tcBorders>
            <w:shd w:val="clear" w:color="auto" w:fill="auto"/>
            <w:vAlign w:val="center"/>
            <w:hideMark/>
          </w:tcPr>
          <w:p w14:paraId="0B9C1AAE"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7EB83BF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7CE203E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3722D70" w14:textId="77777777" w:rsidTr="00040726">
        <w:trPr>
          <w:trHeight w:val="449"/>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6435FC7"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33</w:t>
            </w:r>
          </w:p>
        </w:tc>
        <w:tc>
          <w:tcPr>
            <w:tcW w:w="4860" w:type="dxa"/>
            <w:tcBorders>
              <w:top w:val="nil"/>
              <w:left w:val="nil"/>
              <w:bottom w:val="single" w:sz="4" w:space="0" w:color="auto"/>
              <w:right w:val="single" w:sz="4" w:space="0" w:color="auto"/>
            </w:tcBorders>
            <w:shd w:val="clear" w:color="auto" w:fill="auto"/>
            <w:vAlign w:val="center"/>
            <w:hideMark/>
          </w:tcPr>
          <w:p w14:paraId="21BE1E4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Directly issued capital instruments subject to phase out from Additional Tier 1</w:t>
            </w:r>
          </w:p>
        </w:tc>
        <w:tc>
          <w:tcPr>
            <w:tcW w:w="1350" w:type="dxa"/>
            <w:tcBorders>
              <w:top w:val="nil"/>
              <w:left w:val="nil"/>
              <w:bottom w:val="single" w:sz="4" w:space="0" w:color="auto"/>
              <w:right w:val="single" w:sz="4" w:space="0" w:color="auto"/>
            </w:tcBorders>
            <w:shd w:val="clear" w:color="auto" w:fill="auto"/>
            <w:vAlign w:val="center"/>
            <w:hideMark/>
          </w:tcPr>
          <w:p w14:paraId="159C3A2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256E972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1EAA39A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070AB67" w14:textId="77777777" w:rsidTr="00040726">
        <w:trPr>
          <w:trHeight w:val="881"/>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E45C188"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34</w:t>
            </w:r>
          </w:p>
        </w:tc>
        <w:tc>
          <w:tcPr>
            <w:tcW w:w="4860" w:type="dxa"/>
            <w:tcBorders>
              <w:top w:val="nil"/>
              <w:left w:val="nil"/>
              <w:bottom w:val="single" w:sz="4" w:space="0" w:color="auto"/>
              <w:right w:val="single" w:sz="4" w:space="0" w:color="auto"/>
            </w:tcBorders>
            <w:shd w:val="clear" w:color="auto" w:fill="auto"/>
            <w:vAlign w:val="center"/>
            <w:hideMark/>
          </w:tcPr>
          <w:p w14:paraId="651E5FD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Additional Tier 1 instruments (and CET1 instruments not included in row 5) issued by subsidiaries and held by third parties (amount allowed in group AT1)</w:t>
            </w:r>
          </w:p>
        </w:tc>
        <w:tc>
          <w:tcPr>
            <w:tcW w:w="1350" w:type="dxa"/>
            <w:tcBorders>
              <w:top w:val="nil"/>
              <w:left w:val="nil"/>
              <w:bottom w:val="single" w:sz="4" w:space="0" w:color="auto"/>
              <w:right w:val="single" w:sz="4" w:space="0" w:color="auto"/>
            </w:tcBorders>
            <w:shd w:val="clear" w:color="auto" w:fill="auto"/>
            <w:vAlign w:val="center"/>
            <w:hideMark/>
          </w:tcPr>
          <w:p w14:paraId="594E8D7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3597204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01BED15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C65AD93" w14:textId="77777777" w:rsidTr="00040726">
        <w:trPr>
          <w:trHeight w:val="305"/>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D6C50E2"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35</w:t>
            </w:r>
          </w:p>
        </w:tc>
        <w:tc>
          <w:tcPr>
            <w:tcW w:w="4860" w:type="dxa"/>
            <w:tcBorders>
              <w:top w:val="nil"/>
              <w:left w:val="nil"/>
              <w:bottom w:val="single" w:sz="4" w:space="0" w:color="auto"/>
              <w:right w:val="single" w:sz="4" w:space="0" w:color="auto"/>
            </w:tcBorders>
            <w:shd w:val="clear" w:color="auto" w:fill="auto"/>
            <w:vAlign w:val="center"/>
            <w:hideMark/>
          </w:tcPr>
          <w:p w14:paraId="4F67BD0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instruments issued by subsidiaries subject to phase out</w:t>
            </w:r>
          </w:p>
        </w:tc>
        <w:tc>
          <w:tcPr>
            <w:tcW w:w="1350" w:type="dxa"/>
            <w:tcBorders>
              <w:top w:val="nil"/>
              <w:left w:val="nil"/>
              <w:bottom w:val="single" w:sz="4" w:space="0" w:color="auto"/>
              <w:right w:val="single" w:sz="4" w:space="0" w:color="auto"/>
            </w:tcBorders>
            <w:shd w:val="clear" w:color="auto" w:fill="auto"/>
            <w:vAlign w:val="center"/>
            <w:hideMark/>
          </w:tcPr>
          <w:p w14:paraId="59CA8D1A"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4A94120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2D85ADB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05A2091" w14:textId="77777777" w:rsidTr="00040726">
        <w:trPr>
          <w:trHeight w:val="377"/>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3C0E2C7"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36</w:t>
            </w:r>
          </w:p>
        </w:tc>
        <w:tc>
          <w:tcPr>
            <w:tcW w:w="4860" w:type="dxa"/>
            <w:tcBorders>
              <w:top w:val="nil"/>
              <w:left w:val="nil"/>
              <w:bottom w:val="single" w:sz="4" w:space="0" w:color="auto"/>
              <w:right w:val="single" w:sz="4" w:space="0" w:color="auto"/>
            </w:tcBorders>
            <w:shd w:val="clear" w:color="auto" w:fill="auto"/>
            <w:vAlign w:val="center"/>
            <w:hideMark/>
          </w:tcPr>
          <w:p w14:paraId="79C8C83A"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Additional Tier 1 capital before regulatory adjustments</w:t>
            </w:r>
          </w:p>
        </w:tc>
        <w:tc>
          <w:tcPr>
            <w:tcW w:w="1350" w:type="dxa"/>
            <w:tcBorders>
              <w:top w:val="nil"/>
              <w:left w:val="nil"/>
              <w:bottom w:val="single" w:sz="4" w:space="0" w:color="auto"/>
              <w:right w:val="single" w:sz="4" w:space="0" w:color="auto"/>
            </w:tcBorders>
            <w:shd w:val="clear" w:color="auto" w:fill="auto"/>
            <w:vAlign w:val="center"/>
            <w:hideMark/>
          </w:tcPr>
          <w:p w14:paraId="26B6546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3BD0CCA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54482FA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CA0B275" w14:textId="77777777" w:rsidTr="00040726">
        <w:trPr>
          <w:trHeight w:val="315"/>
        </w:trPr>
        <w:tc>
          <w:tcPr>
            <w:tcW w:w="68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A04C44"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Additional Tier 1 capital: regulatory adjustments</w:t>
            </w:r>
          </w:p>
        </w:tc>
        <w:tc>
          <w:tcPr>
            <w:tcW w:w="1350" w:type="dxa"/>
            <w:tcBorders>
              <w:top w:val="nil"/>
              <w:left w:val="nil"/>
              <w:bottom w:val="single" w:sz="4" w:space="0" w:color="auto"/>
              <w:right w:val="single" w:sz="4" w:space="0" w:color="auto"/>
            </w:tcBorders>
            <w:shd w:val="clear" w:color="auto" w:fill="auto"/>
            <w:vAlign w:val="center"/>
            <w:hideMark/>
          </w:tcPr>
          <w:p w14:paraId="3C9AB4A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1435" w:type="dxa"/>
            <w:tcBorders>
              <w:top w:val="nil"/>
              <w:left w:val="nil"/>
              <w:bottom w:val="single" w:sz="4" w:space="0" w:color="auto"/>
              <w:right w:val="single" w:sz="4" w:space="0" w:color="auto"/>
            </w:tcBorders>
            <w:shd w:val="clear" w:color="auto" w:fill="auto"/>
            <w:vAlign w:val="center"/>
            <w:hideMark/>
          </w:tcPr>
          <w:p w14:paraId="16105BD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75E8BD6" w14:textId="77777777" w:rsidTr="00040726">
        <w:trPr>
          <w:trHeight w:val="31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BEAFA70"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37</w:t>
            </w:r>
          </w:p>
        </w:tc>
        <w:tc>
          <w:tcPr>
            <w:tcW w:w="4860" w:type="dxa"/>
            <w:tcBorders>
              <w:top w:val="nil"/>
              <w:left w:val="nil"/>
              <w:bottom w:val="single" w:sz="4" w:space="0" w:color="auto"/>
              <w:right w:val="single" w:sz="4" w:space="0" w:color="auto"/>
            </w:tcBorders>
            <w:shd w:val="clear" w:color="auto" w:fill="auto"/>
            <w:vAlign w:val="center"/>
            <w:hideMark/>
          </w:tcPr>
          <w:p w14:paraId="50965C8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Investments in own Additional Tier 1 instruments</w:t>
            </w:r>
          </w:p>
        </w:tc>
        <w:tc>
          <w:tcPr>
            <w:tcW w:w="1350" w:type="dxa"/>
            <w:tcBorders>
              <w:top w:val="nil"/>
              <w:left w:val="nil"/>
              <w:bottom w:val="single" w:sz="4" w:space="0" w:color="auto"/>
              <w:right w:val="single" w:sz="4" w:space="0" w:color="auto"/>
            </w:tcBorders>
            <w:shd w:val="clear" w:color="auto" w:fill="auto"/>
            <w:vAlign w:val="center"/>
            <w:hideMark/>
          </w:tcPr>
          <w:p w14:paraId="33695A1A"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6BB258D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3407B95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F3A4984" w14:textId="77777777" w:rsidTr="00040726">
        <w:trPr>
          <w:trHeight w:val="29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12757EC"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38</w:t>
            </w:r>
          </w:p>
        </w:tc>
        <w:tc>
          <w:tcPr>
            <w:tcW w:w="4860" w:type="dxa"/>
            <w:tcBorders>
              <w:top w:val="nil"/>
              <w:left w:val="nil"/>
              <w:bottom w:val="single" w:sz="4" w:space="0" w:color="auto"/>
              <w:right w:val="single" w:sz="4" w:space="0" w:color="auto"/>
            </w:tcBorders>
            <w:shd w:val="clear" w:color="auto" w:fill="auto"/>
            <w:vAlign w:val="center"/>
            <w:hideMark/>
          </w:tcPr>
          <w:p w14:paraId="0D64E80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Reciprocal </w:t>
            </w:r>
            <w:proofErr w:type="gramStart"/>
            <w:r w:rsidRPr="001D70E9">
              <w:rPr>
                <w:color w:val="000000"/>
                <w:sz w:val="24"/>
                <w:szCs w:val="24"/>
                <w:lang w:val="en-CA" w:eastAsia="en-CA"/>
              </w:rPr>
              <w:t>cross-holdings</w:t>
            </w:r>
            <w:proofErr w:type="gramEnd"/>
            <w:r w:rsidRPr="001D70E9">
              <w:rPr>
                <w:color w:val="000000"/>
                <w:sz w:val="24"/>
                <w:szCs w:val="24"/>
                <w:lang w:val="en-CA" w:eastAsia="en-CA"/>
              </w:rPr>
              <w:t xml:space="preserve"> in Additional Tier 1 instruments</w:t>
            </w:r>
          </w:p>
        </w:tc>
        <w:tc>
          <w:tcPr>
            <w:tcW w:w="1350" w:type="dxa"/>
            <w:tcBorders>
              <w:top w:val="nil"/>
              <w:left w:val="nil"/>
              <w:bottom w:val="single" w:sz="4" w:space="0" w:color="auto"/>
              <w:right w:val="single" w:sz="4" w:space="0" w:color="auto"/>
            </w:tcBorders>
            <w:shd w:val="clear" w:color="auto" w:fill="auto"/>
            <w:vAlign w:val="center"/>
            <w:hideMark/>
          </w:tcPr>
          <w:p w14:paraId="73253E2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76CE95E4"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6E59345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47C48CA" w14:textId="77777777" w:rsidTr="00040726">
        <w:trPr>
          <w:trHeight w:val="161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A2351A7"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39</w:t>
            </w:r>
          </w:p>
        </w:tc>
        <w:tc>
          <w:tcPr>
            <w:tcW w:w="4860" w:type="dxa"/>
            <w:tcBorders>
              <w:top w:val="nil"/>
              <w:left w:val="nil"/>
              <w:bottom w:val="single" w:sz="4" w:space="0" w:color="auto"/>
              <w:right w:val="single" w:sz="4" w:space="0" w:color="auto"/>
            </w:tcBorders>
            <w:shd w:val="clear" w:color="auto" w:fill="auto"/>
            <w:vAlign w:val="center"/>
            <w:hideMark/>
          </w:tcPr>
          <w:p w14:paraId="2800418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Investments in the capital of banking, financial and insurance entities that are outside the scope of regulatory consolidation, net of eligible short positions, where the bank does not own more than 10% of the issued common share capital of the entity (amount above 10% threshold)</w:t>
            </w:r>
          </w:p>
        </w:tc>
        <w:tc>
          <w:tcPr>
            <w:tcW w:w="1350" w:type="dxa"/>
            <w:tcBorders>
              <w:top w:val="nil"/>
              <w:left w:val="nil"/>
              <w:bottom w:val="single" w:sz="4" w:space="0" w:color="auto"/>
              <w:right w:val="single" w:sz="4" w:space="0" w:color="auto"/>
            </w:tcBorders>
            <w:shd w:val="clear" w:color="auto" w:fill="auto"/>
            <w:vAlign w:val="center"/>
            <w:hideMark/>
          </w:tcPr>
          <w:p w14:paraId="2CDE5A9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6946337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5302EB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16DDA2E" w14:textId="77777777" w:rsidTr="00040726">
        <w:trPr>
          <w:trHeight w:val="101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F015D54"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40</w:t>
            </w:r>
          </w:p>
        </w:tc>
        <w:tc>
          <w:tcPr>
            <w:tcW w:w="4860" w:type="dxa"/>
            <w:tcBorders>
              <w:top w:val="nil"/>
              <w:left w:val="nil"/>
              <w:bottom w:val="single" w:sz="4" w:space="0" w:color="auto"/>
              <w:right w:val="single" w:sz="4" w:space="0" w:color="auto"/>
            </w:tcBorders>
            <w:shd w:val="clear" w:color="auto" w:fill="auto"/>
            <w:vAlign w:val="center"/>
            <w:hideMark/>
          </w:tcPr>
          <w:p w14:paraId="4266213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Significant investments in the capital of banking, financial and insurance entities that are outside the scope of regulatory consolidation (net of eligible short positions)</w:t>
            </w:r>
          </w:p>
        </w:tc>
        <w:tc>
          <w:tcPr>
            <w:tcW w:w="1350" w:type="dxa"/>
            <w:tcBorders>
              <w:top w:val="nil"/>
              <w:left w:val="nil"/>
              <w:bottom w:val="single" w:sz="4" w:space="0" w:color="auto"/>
              <w:right w:val="single" w:sz="4" w:space="0" w:color="auto"/>
            </w:tcBorders>
            <w:shd w:val="clear" w:color="auto" w:fill="auto"/>
            <w:vAlign w:val="center"/>
            <w:hideMark/>
          </w:tcPr>
          <w:p w14:paraId="6315935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4DC3938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62FF911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CA8CD9C" w14:textId="77777777" w:rsidTr="00040726">
        <w:trPr>
          <w:trHeight w:val="449"/>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E57BA60"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41</w:t>
            </w:r>
          </w:p>
        </w:tc>
        <w:tc>
          <w:tcPr>
            <w:tcW w:w="4860" w:type="dxa"/>
            <w:tcBorders>
              <w:top w:val="nil"/>
              <w:left w:val="nil"/>
              <w:bottom w:val="single" w:sz="4" w:space="0" w:color="auto"/>
              <w:right w:val="single" w:sz="4" w:space="0" w:color="auto"/>
            </w:tcBorders>
            <w:shd w:val="clear" w:color="auto" w:fill="auto"/>
            <w:vAlign w:val="center"/>
            <w:hideMark/>
          </w:tcPr>
          <w:p w14:paraId="3695E06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National specific regulatory adjustments (41a+41b)</w:t>
            </w:r>
          </w:p>
        </w:tc>
        <w:tc>
          <w:tcPr>
            <w:tcW w:w="1350" w:type="dxa"/>
            <w:tcBorders>
              <w:top w:val="nil"/>
              <w:left w:val="nil"/>
              <w:bottom w:val="single" w:sz="4" w:space="0" w:color="auto"/>
              <w:right w:val="single" w:sz="4" w:space="0" w:color="auto"/>
            </w:tcBorders>
            <w:shd w:val="clear" w:color="auto" w:fill="auto"/>
            <w:vAlign w:val="center"/>
            <w:hideMark/>
          </w:tcPr>
          <w:p w14:paraId="2ECE813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43411FB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346A4A1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1035B45" w14:textId="77777777" w:rsidTr="00040726">
        <w:trPr>
          <w:trHeight w:val="62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2E4CC8A"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41a</w:t>
            </w:r>
          </w:p>
        </w:tc>
        <w:tc>
          <w:tcPr>
            <w:tcW w:w="4860" w:type="dxa"/>
            <w:tcBorders>
              <w:top w:val="nil"/>
              <w:left w:val="nil"/>
              <w:bottom w:val="single" w:sz="4" w:space="0" w:color="auto"/>
              <w:right w:val="single" w:sz="4" w:space="0" w:color="auto"/>
            </w:tcBorders>
            <w:shd w:val="clear" w:color="auto" w:fill="auto"/>
            <w:vAlign w:val="center"/>
            <w:hideMark/>
          </w:tcPr>
          <w:p w14:paraId="3E878F2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Investments in the Additional Tier 1 capital of unconsolidated insurance subsidiaries</w:t>
            </w:r>
          </w:p>
        </w:tc>
        <w:tc>
          <w:tcPr>
            <w:tcW w:w="1350" w:type="dxa"/>
            <w:tcBorders>
              <w:top w:val="nil"/>
              <w:left w:val="nil"/>
              <w:bottom w:val="single" w:sz="4" w:space="0" w:color="auto"/>
              <w:right w:val="single" w:sz="4" w:space="0" w:color="auto"/>
            </w:tcBorders>
            <w:shd w:val="clear" w:color="auto" w:fill="auto"/>
            <w:vAlign w:val="center"/>
            <w:hideMark/>
          </w:tcPr>
          <w:p w14:paraId="718B3D14"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05B322C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449DF2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5565612" w14:textId="77777777" w:rsidTr="00040726">
        <w:trPr>
          <w:trHeight w:val="692"/>
        </w:trPr>
        <w:tc>
          <w:tcPr>
            <w:tcW w:w="645" w:type="dxa"/>
            <w:vMerge w:val="restart"/>
            <w:tcBorders>
              <w:top w:val="nil"/>
              <w:left w:val="single" w:sz="4" w:space="0" w:color="auto"/>
              <w:bottom w:val="single" w:sz="4" w:space="0" w:color="auto"/>
              <w:right w:val="single" w:sz="4" w:space="0" w:color="auto"/>
            </w:tcBorders>
            <w:shd w:val="clear" w:color="auto" w:fill="auto"/>
            <w:vAlign w:val="center"/>
            <w:hideMark/>
          </w:tcPr>
          <w:p w14:paraId="58D1606C"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lastRenderedPageBreak/>
              <w:t>41b</w:t>
            </w:r>
          </w:p>
        </w:tc>
        <w:tc>
          <w:tcPr>
            <w:tcW w:w="4860" w:type="dxa"/>
            <w:tcBorders>
              <w:top w:val="nil"/>
              <w:left w:val="nil"/>
              <w:bottom w:val="single" w:sz="4" w:space="0" w:color="auto"/>
              <w:right w:val="single" w:sz="4" w:space="0" w:color="auto"/>
            </w:tcBorders>
            <w:shd w:val="clear" w:color="auto" w:fill="auto"/>
            <w:vAlign w:val="center"/>
            <w:hideMark/>
          </w:tcPr>
          <w:p w14:paraId="736D00D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Shortfall in the Additional Tier 1 capital of majority owned financial entities which have not been consolidated with the bank</w:t>
            </w:r>
          </w:p>
        </w:tc>
        <w:tc>
          <w:tcPr>
            <w:tcW w:w="1350" w:type="dxa"/>
            <w:tcBorders>
              <w:top w:val="nil"/>
              <w:left w:val="nil"/>
              <w:bottom w:val="single" w:sz="4" w:space="0" w:color="auto"/>
              <w:right w:val="single" w:sz="4" w:space="0" w:color="auto"/>
            </w:tcBorders>
            <w:shd w:val="clear" w:color="auto" w:fill="auto"/>
            <w:vAlign w:val="center"/>
            <w:hideMark/>
          </w:tcPr>
          <w:p w14:paraId="37C58694"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2FC8B33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18FD11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0C60960" w14:textId="77777777" w:rsidTr="00040726">
        <w:trPr>
          <w:trHeight w:val="440"/>
        </w:trPr>
        <w:tc>
          <w:tcPr>
            <w:tcW w:w="645" w:type="dxa"/>
            <w:vMerge/>
            <w:tcBorders>
              <w:top w:val="nil"/>
              <w:left w:val="single" w:sz="4" w:space="0" w:color="auto"/>
              <w:bottom w:val="single" w:sz="4" w:space="0" w:color="auto"/>
              <w:right w:val="single" w:sz="4" w:space="0" w:color="auto"/>
            </w:tcBorders>
            <w:vAlign w:val="center"/>
            <w:hideMark/>
          </w:tcPr>
          <w:p w14:paraId="1C30D924"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1907037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Regulatory Adjustments Applied to Additional Tier 1 in respect of Amounts Subject to Pre-Basel III Treatment</w:t>
            </w:r>
          </w:p>
        </w:tc>
        <w:tc>
          <w:tcPr>
            <w:tcW w:w="1350" w:type="dxa"/>
            <w:tcBorders>
              <w:top w:val="nil"/>
              <w:left w:val="nil"/>
              <w:bottom w:val="single" w:sz="4" w:space="0" w:color="auto"/>
              <w:right w:val="single" w:sz="4" w:space="0" w:color="auto"/>
            </w:tcBorders>
            <w:shd w:val="clear" w:color="auto" w:fill="auto"/>
            <w:vAlign w:val="center"/>
            <w:hideMark/>
          </w:tcPr>
          <w:p w14:paraId="3D1B8C7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64E9AF7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73FC4A9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1404CC7" w14:textId="77777777" w:rsidTr="00040726">
        <w:trPr>
          <w:trHeight w:val="64"/>
        </w:trPr>
        <w:tc>
          <w:tcPr>
            <w:tcW w:w="645" w:type="dxa"/>
            <w:vMerge/>
            <w:tcBorders>
              <w:top w:val="nil"/>
              <w:left w:val="single" w:sz="4" w:space="0" w:color="auto"/>
              <w:bottom w:val="single" w:sz="4" w:space="0" w:color="auto"/>
              <w:right w:val="single" w:sz="4" w:space="0" w:color="auto"/>
            </w:tcBorders>
            <w:vAlign w:val="center"/>
            <w:hideMark/>
          </w:tcPr>
          <w:p w14:paraId="38627A39"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34F7A81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[INSERT TYPE OF ADJUSTMENT e.g. DTAs]</w:t>
            </w:r>
          </w:p>
        </w:tc>
        <w:tc>
          <w:tcPr>
            <w:tcW w:w="1350" w:type="dxa"/>
            <w:tcBorders>
              <w:top w:val="nil"/>
              <w:left w:val="nil"/>
              <w:bottom w:val="single" w:sz="4" w:space="0" w:color="auto"/>
              <w:right w:val="single" w:sz="4" w:space="0" w:color="auto"/>
            </w:tcBorders>
            <w:shd w:val="clear" w:color="auto" w:fill="auto"/>
            <w:vAlign w:val="center"/>
            <w:hideMark/>
          </w:tcPr>
          <w:p w14:paraId="1BF8237E"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197667E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6E7CB53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2BA79E3" w14:textId="77777777" w:rsidTr="00040726">
        <w:trPr>
          <w:trHeight w:val="64"/>
        </w:trPr>
        <w:tc>
          <w:tcPr>
            <w:tcW w:w="645" w:type="dxa"/>
            <w:vMerge w:val="restart"/>
            <w:tcBorders>
              <w:top w:val="nil"/>
              <w:left w:val="single" w:sz="4" w:space="0" w:color="auto"/>
              <w:bottom w:val="single" w:sz="4" w:space="0" w:color="auto"/>
              <w:right w:val="single" w:sz="4" w:space="0" w:color="auto"/>
            </w:tcBorders>
            <w:shd w:val="clear" w:color="auto" w:fill="auto"/>
            <w:vAlign w:val="center"/>
            <w:hideMark/>
          </w:tcPr>
          <w:p w14:paraId="5ACE53D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c>
          <w:tcPr>
            <w:tcW w:w="4860" w:type="dxa"/>
            <w:tcBorders>
              <w:top w:val="nil"/>
              <w:left w:val="nil"/>
              <w:bottom w:val="single" w:sz="4" w:space="0" w:color="auto"/>
              <w:right w:val="single" w:sz="4" w:space="0" w:color="auto"/>
            </w:tcBorders>
            <w:shd w:val="clear" w:color="auto" w:fill="auto"/>
            <w:vAlign w:val="center"/>
            <w:hideMark/>
          </w:tcPr>
          <w:p w14:paraId="38727DD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[INSERT TYPE OF ADJUSTMENT e.g. existing adjustments which are deducted from Tier 1 at 50%]</w:t>
            </w:r>
          </w:p>
        </w:tc>
        <w:tc>
          <w:tcPr>
            <w:tcW w:w="1350" w:type="dxa"/>
            <w:tcBorders>
              <w:top w:val="nil"/>
              <w:left w:val="nil"/>
              <w:bottom w:val="single" w:sz="4" w:space="0" w:color="auto"/>
              <w:right w:val="single" w:sz="4" w:space="0" w:color="auto"/>
            </w:tcBorders>
            <w:shd w:val="clear" w:color="auto" w:fill="auto"/>
            <w:vAlign w:val="center"/>
            <w:hideMark/>
          </w:tcPr>
          <w:p w14:paraId="1B52D084"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531613E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11061E0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4CC33C2" w14:textId="77777777" w:rsidTr="00040726">
        <w:trPr>
          <w:trHeight w:val="98"/>
        </w:trPr>
        <w:tc>
          <w:tcPr>
            <w:tcW w:w="645" w:type="dxa"/>
            <w:vMerge/>
            <w:tcBorders>
              <w:top w:val="nil"/>
              <w:left w:val="single" w:sz="4" w:space="0" w:color="auto"/>
              <w:bottom w:val="single" w:sz="4" w:space="0" w:color="auto"/>
              <w:right w:val="single" w:sz="4" w:space="0" w:color="auto"/>
            </w:tcBorders>
            <w:vAlign w:val="center"/>
            <w:hideMark/>
          </w:tcPr>
          <w:p w14:paraId="36E2CBA9"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35ABF63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[INSERT TYPE OF ADJUSTMENT]</w:t>
            </w:r>
          </w:p>
        </w:tc>
        <w:tc>
          <w:tcPr>
            <w:tcW w:w="1350" w:type="dxa"/>
            <w:tcBorders>
              <w:top w:val="nil"/>
              <w:left w:val="nil"/>
              <w:bottom w:val="single" w:sz="4" w:space="0" w:color="auto"/>
              <w:right w:val="single" w:sz="4" w:space="0" w:color="auto"/>
            </w:tcBorders>
            <w:shd w:val="clear" w:color="auto" w:fill="auto"/>
            <w:vAlign w:val="center"/>
            <w:hideMark/>
          </w:tcPr>
          <w:p w14:paraId="2110DA4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1E925772"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6F3163BD"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6B16144" w14:textId="77777777" w:rsidTr="00040726">
        <w:trPr>
          <w:trHeight w:val="449"/>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8EA7B1C"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42</w:t>
            </w:r>
          </w:p>
        </w:tc>
        <w:tc>
          <w:tcPr>
            <w:tcW w:w="4860" w:type="dxa"/>
            <w:tcBorders>
              <w:top w:val="nil"/>
              <w:left w:val="nil"/>
              <w:bottom w:val="single" w:sz="4" w:space="0" w:color="auto"/>
              <w:right w:val="single" w:sz="4" w:space="0" w:color="auto"/>
            </w:tcBorders>
            <w:shd w:val="clear" w:color="auto" w:fill="auto"/>
            <w:vAlign w:val="center"/>
            <w:hideMark/>
          </w:tcPr>
          <w:p w14:paraId="1681AEA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Regulatory adjustments applied to Additional Tier 1 due to insufficient Tier 2 to cover deductions</w:t>
            </w:r>
          </w:p>
        </w:tc>
        <w:tc>
          <w:tcPr>
            <w:tcW w:w="1350" w:type="dxa"/>
            <w:tcBorders>
              <w:top w:val="nil"/>
              <w:left w:val="nil"/>
              <w:bottom w:val="single" w:sz="4" w:space="0" w:color="auto"/>
              <w:right w:val="single" w:sz="4" w:space="0" w:color="auto"/>
            </w:tcBorders>
            <w:shd w:val="clear" w:color="auto" w:fill="auto"/>
            <w:vAlign w:val="center"/>
            <w:hideMark/>
          </w:tcPr>
          <w:p w14:paraId="0815E91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4B9C594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819893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552E3F2" w14:textId="77777777" w:rsidTr="00040726">
        <w:trPr>
          <w:trHeight w:val="233"/>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DED2B38"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43</w:t>
            </w:r>
          </w:p>
        </w:tc>
        <w:tc>
          <w:tcPr>
            <w:tcW w:w="4860" w:type="dxa"/>
            <w:tcBorders>
              <w:top w:val="nil"/>
              <w:left w:val="nil"/>
              <w:bottom w:val="single" w:sz="4" w:space="0" w:color="auto"/>
              <w:right w:val="single" w:sz="4" w:space="0" w:color="auto"/>
            </w:tcBorders>
            <w:shd w:val="clear" w:color="auto" w:fill="auto"/>
            <w:vAlign w:val="center"/>
            <w:hideMark/>
          </w:tcPr>
          <w:p w14:paraId="7E9FE20D"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Total regulatory adjustments to Additional Tier 1 capital</w:t>
            </w:r>
          </w:p>
        </w:tc>
        <w:tc>
          <w:tcPr>
            <w:tcW w:w="1350" w:type="dxa"/>
            <w:tcBorders>
              <w:top w:val="nil"/>
              <w:left w:val="nil"/>
              <w:bottom w:val="single" w:sz="4" w:space="0" w:color="auto"/>
              <w:right w:val="single" w:sz="4" w:space="0" w:color="auto"/>
            </w:tcBorders>
            <w:shd w:val="clear" w:color="auto" w:fill="auto"/>
            <w:vAlign w:val="center"/>
            <w:hideMark/>
          </w:tcPr>
          <w:p w14:paraId="56AFFD5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3896CCB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0C39829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4771F51" w14:textId="77777777" w:rsidTr="00040726">
        <w:trPr>
          <w:trHeight w:val="305"/>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7FF8AA4"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44</w:t>
            </w:r>
          </w:p>
        </w:tc>
        <w:tc>
          <w:tcPr>
            <w:tcW w:w="4860" w:type="dxa"/>
            <w:tcBorders>
              <w:top w:val="nil"/>
              <w:left w:val="nil"/>
              <w:bottom w:val="single" w:sz="4" w:space="0" w:color="auto"/>
              <w:right w:val="single" w:sz="4" w:space="0" w:color="auto"/>
            </w:tcBorders>
            <w:shd w:val="clear" w:color="auto" w:fill="auto"/>
            <w:vAlign w:val="center"/>
            <w:hideMark/>
          </w:tcPr>
          <w:p w14:paraId="1176733F"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Additional Tier 1 capital (AT1)</w:t>
            </w:r>
          </w:p>
        </w:tc>
        <w:tc>
          <w:tcPr>
            <w:tcW w:w="1350" w:type="dxa"/>
            <w:tcBorders>
              <w:top w:val="nil"/>
              <w:left w:val="nil"/>
              <w:bottom w:val="single" w:sz="4" w:space="0" w:color="auto"/>
              <w:right w:val="single" w:sz="4" w:space="0" w:color="auto"/>
            </w:tcBorders>
            <w:shd w:val="clear" w:color="auto" w:fill="auto"/>
            <w:vAlign w:val="center"/>
            <w:hideMark/>
          </w:tcPr>
          <w:p w14:paraId="082FFE2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34369FF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2EA4D47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186D45D" w14:textId="77777777" w:rsidTr="00040726">
        <w:trPr>
          <w:trHeight w:val="431"/>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8F90A3D"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44a</w:t>
            </w:r>
          </w:p>
        </w:tc>
        <w:tc>
          <w:tcPr>
            <w:tcW w:w="4860" w:type="dxa"/>
            <w:tcBorders>
              <w:top w:val="nil"/>
              <w:left w:val="nil"/>
              <w:bottom w:val="single" w:sz="4" w:space="0" w:color="auto"/>
              <w:right w:val="single" w:sz="4" w:space="0" w:color="auto"/>
            </w:tcBorders>
            <w:shd w:val="clear" w:color="auto" w:fill="auto"/>
            <w:vAlign w:val="center"/>
            <w:hideMark/>
          </w:tcPr>
          <w:p w14:paraId="350ABF9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Additional Tier 1 capital reckoned for capital adequacy</w:t>
            </w:r>
          </w:p>
        </w:tc>
        <w:tc>
          <w:tcPr>
            <w:tcW w:w="1350" w:type="dxa"/>
            <w:tcBorders>
              <w:top w:val="nil"/>
              <w:left w:val="nil"/>
              <w:bottom w:val="single" w:sz="4" w:space="0" w:color="auto"/>
              <w:right w:val="single" w:sz="4" w:space="0" w:color="auto"/>
            </w:tcBorders>
            <w:shd w:val="clear" w:color="auto" w:fill="auto"/>
            <w:vAlign w:val="center"/>
            <w:hideMark/>
          </w:tcPr>
          <w:p w14:paraId="7865FB1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7B5EBAB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1435" w:type="dxa"/>
            <w:tcBorders>
              <w:top w:val="nil"/>
              <w:left w:val="nil"/>
              <w:bottom w:val="single" w:sz="4" w:space="0" w:color="auto"/>
              <w:right w:val="single" w:sz="4" w:space="0" w:color="auto"/>
            </w:tcBorders>
            <w:shd w:val="clear" w:color="auto" w:fill="auto"/>
            <w:vAlign w:val="center"/>
            <w:hideMark/>
          </w:tcPr>
          <w:p w14:paraId="7C2E913D"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F54BD4D" w14:textId="77777777" w:rsidTr="00040726">
        <w:trPr>
          <w:trHeight w:val="503"/>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C8DA95C"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45</w:t>
            </w:r>
          </w:p>
        </w:tc>
        <w:tc>
          <w:tcPr>
            <w:tcW w:w="4860" w:type="dxa"/>
            <w:tcBorders>
              <w:top w:val="nil"/>
              <w:left w:val="nil"/>
              <w:bottom w:val="single" w:sz="4" w:space="0" w:color="auto"/>
              <w:right w:val="single" w:sz="4" w:space="0" w:color="auto"/>
            </w:tcBorders>
            <w:shd w:val="clear" w:color="auto" w:fill="auto"/>
            <w:vAlign w:val="center"/>
            <w:hideMark/>
          </w:tcPr>
          <w:p w14:paraId="71A70363" w14:textId="77777777" w:rsidR="004C1CA7" w:rsidRPr="00864BAD" w:rsidRDefault="004C1CA7" w:rsidP="00040726">
            <w:pPr>
              <w:overflowPunct/>
              <w:autoSpaceDE/>
              <w:autoSpaceDN/>
              <w:adjustRightInd/>
              <w:textAlignment w:val="auto"/>
              <w:rPr>
                <w:b/>
                <w:bCs/>
                <w:color w:val="000000"/>
                <w:sz w:val="24"/>
                <w:szCs w:val="24"/>
                <w:lang w:val="fr-FR" w:eastAsia="en-CA"/>
              </w:rPr>
            </w:pPr>
            <w:r w:rsidRPr="00864BAD">
              <w:rPr>
                <w:b/>
                <w:bCs/>
                <w:color w:val="000000"/>
                <w:sz w:val="24"/>
                <w:szCs w:val="24"/>
                <w:lang w:val="fr-FR" w:eastAsia="en-CA"/>
              </w:rPr>
              <w:t>Tier 1 capital (T1 = CET1 + Admissible AT1) (29 + 44a)</w:t>
            </w:r>
          </w:p>
        </w:tc>
        <w:tc>
          <w:tcPr>
            <w:tcW w:w="1350" w:type="dxa"/>
            <w:tcBorders>
              <w:top w:val="nil"/>
              <w:left w:val="nil"/>
              <w:bottom w:val="single" w:sz="4" w:space="0" w:color="auto"/>
              <w:right w:val="single" w:sz="4" w:space="0" w:color="auto"/>
            </w:tcBorders>
            <w:shd w:val="clear" w:color="auto" w:fill="auto"/>
            <w:vAlign w:val="center"/>
            <w:hideMark/>
          </w:tcPr>
          <w:p w14:paraId="2F39EC6B" w14:textId="77777777" w:rsidR="004C1CA7" w:rsidRPr="001D70E9" w:rsidRDefault="004C1CA7" w:rsidP="00040726">
            <w:pPr>
              <w:overflowPunct/>
              <w:autoSpaceDE/>
              <w:autoSpaceDN/>
              <w:adjustRightInd/>
              <w:jc w:val="right"/>
              <w:textAlignment w:val="auto"/>
              <w:rPr>
                <w:b/>
                <w:bCs/>
                <w:color w:val="000000"/>
                <w:sz w:val="24"/>
                <w:szCs w:val="24"/>
                <w:lang w:val="en-CA" w:eastAsia="en-CA"/>
              </w:rPr>
            </w:pPr>
            <w:r w:rsidRPr="00864BAD">
              <w:rPr>
                <w:b/>
                <w:bCs/>
                <w:color w:val="000000"/>
                <w:sz w:val="24"/>
                <w:szCs w:val="24"/>
                <w:lang w:val="fr-FR" w:eastAsia="en-CA"/>
              </w:rPr>
              <w:t xml:space="preserve">  </w:t>
            </w:r>
            <w:r>
              <w:rPr>
                <w:b/>
                <w:bCs/>
                <w:color w:val="000000"/>
                <w:sz w:val="24"/>
                <w:szCs w:val="24"/>
                <w:lang w:val="en-CA" w:eastAsia="en-CA"/>
              </w:rPr>
              <w:t>17,108,994</w:t>
            </w:r>
          </w:p>
        </w:tc>
        <w:tc>
          <w:tcPr>
            <w:tcW w:w="1350" w:type="dxa"/>
            <w:tcBorders>
              <w:top w:val="nil"/>
              <w:left w:val="nil"/>
              <w:bottom w:val="single" w:sz="4" w:space="0" w:color="auto"/>
              <w:right w:val="single" w:sz="4" w:space="0" w:color="auto"/>
            </w:tcBorders>
            <w:shd w:val="clear" w:color="auto" w:fill="auto"/>
            <w:vAlign w:val="center"/>
            <w:hideMark/>
          </w:tcPr>
          <w:p w14:paraId="5C2F9DA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29C03F9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ED8F166" w14:textId="77777777" w:rsidTr="00040726">
        <w:trPr>
          <w:trHeight w:val="125"/>
        </w:trPr>
        <w:tc>
          <w:tcPr>
            <w:tcW w:w="68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EF2252"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 xml:space="preserve">Tier 2 </w:t>
            </w:r>
            <w:proofErr w:type="gramStart"/>
            <w:r w:rsidRPr="001D70E9">
              <w:rPr>
                <w:b/>
                <w:bCs/>
                <w:color w:val="000000"/>
                <w:sz w:val="24"/>
                <w:szCs w:val="24"/>
                <w:lang w:val="en-CA" w:eastAsia="en-CA"/>
              </w:rPr>
              <w:t>capital :</w:t>
            </w:r>
            <w:proofErr w:type="gramEnd"/>
            <w:r w:rsidRPr="001D70E9">
              <w:rPr>
                <w:b/>
                <w:bCs/>
                <w:color w:val="000000"/>
                <w:sz w:val="24"/>
                <w:szCs w:val="24"/>
                <w:lang w:val="en-CA" w:eastAsia="en-CA"/>
              </w:rPr>
              <w:t xml:space="preserve"> instruments and provisions</w:t>
            </w:r>
          </w:p>
        </w:tc>
        <w:tc>
          <w:tcPr>
            <w:tcW w:w="1350" w:type="dxa"/>
            <w:tcBorders>
              <w:top w:val="nil"/>
              <w:left w:val="nil"/>
              <w:bottom w:val="single" w:sz="4" w:space="0" w:color="auto"/>
              <w:right w:val="single" w:sz="4" w:space="0" w:color="auto"/>
            </w:tcBorders>
            <w:shd w:val="clear" w:color="auto" w:fill="auto"/>
            <w:vAlign w:val="center"/>
            <w:hideMark/>
          </w:tcPr>
          <w:p w14:paraId="7104541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1435" w:type="dxa"/>
            <w:tcBorders>
              <w:top w:val="nil"/>
              <w:left w:val="nil"/>
              <w:bottom w:val="single" w:sz="4" w:space="0" w:color="auto"/>
              <w:right w:val="single" w:sz="4" w:space="0" w:color="auto"/>
            </w:tcBorders>
            <w:shd w:val="clear" w:color="auto" w:fill="auto"/>
            <w:vAlign w:val="center"/>
            <w:hideMark/>
          </w:tcPr>
          <w:p w14:paraId="4E1BE2C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948EA78" w14:textId="77777777" w:rsidTr="00040726">
        <w:trPr>
          <w:trHeight w:val="377"/>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3B19380"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46</w:t>
            </w:r>
          </w:p>
        </w:tc>
        <w:tc>
          <w:tcPr>
            <w:tcW w:w="4860" w:type="dxa"/>
            <w:tcBorders>
              <w:top w:val="nil"/>
              <w:left w:val="nil"/>
              <w:bottom w:val="single" w:sz="4" w:space="0" w:color="auto"/>
              <w:right w:val="single" w:sz="4" w:space="0" w:color="auto"/>
            </w:tcBorders>
            <w:shd w:val="clear" w:color="auto" w:fill="auto"/>
            <w:vAlign w:val="center"/>
            <w:hideMark/>
          </w:tcPr>
          <w:p w14:paraId="4E7446E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Directly issued qualifying Tier 2 instruments plus related stock surplus</w:t>
            </w:r>
          </w:p>
        </w:tc>
        <w:tc>
          <w:tcPr>
            <w:tcW w:w="1350" w:type="dxa"/>
            <w:tcBorders>
              <w:top w:val="nil"/>
              <w:left w:val="nil"/>
              <w:bottom w:val="single" w:sz="4" w:space="0" w:color="auto"/>
              <w:right w:val="single" w:sz="4" w:space="0" w:color="auto"/>
            </w:tcBorders>
            <w:shd w:val="clear" w:color="auto" w:fill="auto"/>
            <w:vAlign w:val="center"/>
            <w:hideMark/>
          </w:tcPr>
          <w:p w14:paraId="5DCFF41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0DD4D63A"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392B32C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C6FAB13" w14:textId="77777777" w:rsidTr="00040726">
        <w:trPr>
          <w:trHeight w:val="17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D57CB13"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47</w:t>
            </w:r>
          </w:p>
        </w:tc>
        <w:tc>
          <w:tcPr>
            <w:tcW w:w="4860" w:type="dxa"/>
            <w:tcBorders>
              <w:top w:val="nil"/>
              <w:left w:val="nil"/>
              <w:bottom w:val="single" w:sz="4" w:space="0" w:color="auto"/>
              <w:right w:val="single" w:sz="4" w:space="0" w:color="auto"/>
            </w:tcBorders>
            <w:shd w:val="clear" w:color="auto" w:fill="auto"/>
            <w:vAlign w:val="center"/>
            <w:hideMark/>
          </w:tcPr>
          <w:p w14:paraId="7C16445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Directly issued capital instruments subject to phase out from Tier 2</w:t>
            </w:r>
          </w:p>
        </w:tc>
        <w:tc>
          <w:tcPr>
            <w:tcW w:w="1350" w:type="dxa"/>
            <w:tcBorders>
              <w:top w:val="nil"/>
              <w:left w:val="nil"/>
              <w:bottom w:val="single" w:sz="4" w:space="0" w:color="auto"/>
              <w:right w:val="single" w:sz="4" w:space="0" w:color="auto"/>
            </w:tcBorders>
            <w:shd w:val="clear" w:color="auto" w:fill="auto"/>
            <w:vAlign w:val="center"/>
            <w:hideMark/>
          </w:tcPr>
          <w:p w14:paraId="7D48661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5D80774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246E098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A2246F7" w14:textId="77777777" w:rsidTr="00040726">
        <w:trPr>
          <w:trHeight w:val="87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302D27D"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48</w:t>
            </w:r>
          </w:p>
        </w:tc>
        <w:tc>
          <w:tcPr>
            <w:tcW w:w="4860" w:type="dxa"/>
            <w:tcBorders>
              <w:top w:val="nil"/>
              <w:left w:val="nil"/>
              <w:bottom w:val="single" w:sz="4" w:space="0" w:color="auto"/>
              <w:right w:val="single" w:sz="4" w:space="0" w:color="auto"/>
            </w:tcBorders>
            <w:shd w:val="clear" w:color="auto" w:fill="auto"/>
            <w:vAlign w:val="center"/>
            <w:hideMark/>
          </w:tcPr>
          <w:p w14:paraId="2E51F66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Tier 2 instruments (and CET1 and AT1 instruments not included in rows 5 or 34) issued by subsidiaries and held by third parties (amount allowed in group Tier 2)</w:t>
            </w:r>
          </w:p>
        </w:tc>
        <w:tc>
          <w:tcPr>
            <w:tcW w:w="1350" w:type="dxa"/>
            <w:tcBorders>
              <w:top w:val="nil"/>
              <w:left w:val="nil"/>
              <w:bottom w:val="single" w:sz="4" w:space="0" w:color="auto"/>
              <w:right w:val="single" w:sz="4" w:space="0" w:color="auto"/>
            </w:tcBorders>
            <w:shd w:val="clear" w:color="auto" w:fill="auto"/>
            <w:vAlign w:val="center"/>
            <w:hideMark/>
          </w:tcPr>
          <w:p w14:paraId="1966A3F6"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11ACE65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310D668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21C0AFC" w14:textId="77777777" w:rsidTr="00040726">
        <w:trPr>
          <w:trHeight w:val="29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0096558"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49</w:t>
            </w:r>
          </w:p>
        </w:tc>
        <w:tc>
          <w:tcPr>
            <w:tcW w:w="4860" w:type="dxa"/>
            <w:tcBorders>
              <w:top w:val="nil"/>
              <w:left w:val="nil"/>
              <w:bottom w:val="single" w:sz="4" w:space="0" w:color="auto"/>
              <w:right w:val="single" w:sz="4" w:space="0" w:color="auto"/>
            </w:tcBorders>
            <w:shd w:val="clear" w:color="auto" w:fill="auto"/>
            <w:vAlign w:val="center"/>
            <w:hideMark/>
          </w:tcPr>
          <w:p w14:paraId="4381C53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instruments issued by subsidiaries subject to phase out</w:t>
            </w:r>
          </w:p>
        </w:tc>
        <w:tc>
          <w:tcPr>
            <w:tcW w:w="1350" w:type="dxa"/>
            <w:tcBorders>
              <w:top w:val="nil"/>
              <w:left w:val="nil"/>
              <w:bottom w:val="single" w:sz="4" w:space="0" w:color="auto"/>
              <w:right w:val="single" w:sz="4" w:space="0" w:color="auto"/>
            </w:tcBorders>
            <w:shd w:val="clear" w:color="auto" w:fill="auto"/>
            <w:vAlign w:val="center"/>
            <w:hideMark/>
          </w:tcPr>
          <w:p w14:paraId="6477F6E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69478B33"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78B425D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7131CF5" w14:textId="77777777" w:rsidTr="00040726">
        <w:trPr>
          <w:trHeight w:val="278"/>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8DE3EC9"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50</w:t>
            </w:r>
          </w:p>
        </w:tc>
        <w:tc>
          <w:tcPr>
            <w:tcW w:w="4860" w:type="dxa"/>
            <w:tcBorders>
              <w:top w:val="nil"/>
              <w:left w:val="nil"/>
              <w:bottom w:val="single" w:sz="4" w:space="0" w:color="auto"/>
              <w:right w:val="single" w:sz="4" w:space="0" w:color="auto"/>
            </w:tcBorders>
            <w:shd w:val="clear" w:color="auto" w:fill="auto"/>
            <w:vAlign w:val="center"/>
            <w:hideMark/>
          </w:tcPr>
          <w:p w14:paraId="011B8BAD"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Provisions (Please refer to Note to Template Point 50)</w:t>
            </w:r>
          </w:p>
        </w:tc>
        <w:tc>
          <w:tcPr>
            <w:tcW w:w="1350" w:type="dxa"/>
            <w:tcBorders>
              <w:top w:val="nil"/>
              <w:left w:val="nil"/>
              <w:bottom w:val="single" w:sz="4" w:space="0" w:color="auto"/>
              <w:right w:val="single" w:sz="4" w:space="0" w:color="auto"/>
            </w:tcBorders>
            <w:shd w:val="clear" w:color="auto" w:fill="auto"/>
            <w:vAlign w:val="center"/>
            <w:hideMark/>
          </w:tcPr>
          <w:p w14:paraId="18CA19A2" w14:textId="77777777" w:rsidR="004C1CA7" w:rsidRPr="00394AF7"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903,183</w:t>
            </w:r>
          </w:p>
        </w:tc>
        <w:tc>
          <w:tcPr>
            <w:tcW w:w="1350" w:type="dxa"/>
            <w:tcBorders>
              <w:top w:val="nil"/>
              <w:left w:val="nil"/>
              <w:bottom w:val="single" w:sz="4" w:space="0" w:color="auto"/>
              <w:right w:val="single" w:sz="4" w:space="0" w:color="auto"/>
            </w:tcBorders>
            <w:shd w:val="clear" w:color="auto" w:fill="auto"/>
            <w:vAlign w:val="center"/>
            <w:hideMark/>
          </w:tcPr>
          <w:p w14:paraId="1C460EA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6AD07D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(D)+(E)+(F)</w:t>
            </w:r>
          </w:p>
        </w:tc>
      </w:tr>
      <w:tr w:rsidR="004C1CA7" w:rsidRPr="001D70E9" w14:paraId="15AF2230" w14:textId="77777777" w:rsidTr="00040726">
        <w:trPr>
          <w:trHeight w:val="341"/>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34AD499"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51</w:t>
            </w:r>
          </w:p>
        </w:tc>
        <w:tc>
          <w:tcPr>
            <w:tcW w:w="4860" w:type="dxa"/>
            <w:tcBorders>
              <w:top w:val="nil"/>
              <w:left w:val="nil"/>
              <w:bottom w:val="single" w:sz="4" w:space="0" w:color="auto"/>
              <w:right w:val="single" w:sz="4" w:space="0" w:color="auto"/>
            </w:tcBorders>
            <w:shd w:val="clear" w:color="auto" w:fill="auto"/>
            <w:vAlign w:val="center"/>
            <w:hideMark/>
          </w:tcPr>
          <w:p w14:paraId="58CAB325"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Tier 2 capital before regulatory adjustments</w:t>
            </w:r>
          </w:p>
        </w:tc>
        <w:tc>
          <w:tcPr>
            <w:tcW w:w="1350" w:type="dxa"/>
            <w:tcBorders>
              <w:top w:val="nil"/>
              <w:left w:val="nil"/>
              <w:bottom w:val="single" w:sz="4" w:space="0" w:color="auto"/>
              <w:right w:val="single" w:sz="4" w:space="0" w:color="auto"/>
            </w:tcBorders>
            <w:shd w:val="clear" w:color="auto" w:fill="auto"/>
            <w:vAlign w:val="center"/>
            <w:hideMark/>
          </w:tcPr>
          <w:p w14:paraId="734769CE" w14:textId="77777777" w:rsidR="004C1CA7" w:rsidRPr="00394AF7" w:rsidRDefault="004C1CA7" w:rsidP="00040726">
            <w:pPr>
              <w:overflowPunct/>
              <w:autoSpaceDE/>
              <w:autoSpaceDN/>
              <w:adjustRightInd/>
              <w:textAlignment w:val="auto"/>
              <w:rPr>
                <w:b/>
                <w:bCs/>
                <w:color w:val="000000"/>
                <w:sz w:val="24"/>
                <w:szCs w:val="24"/>
                <w:lang w:val="en-CA" w:eastAsia="en-CA"/>
              </w:rPr>
            </w:pPr>
            <w:r w:rsidRPr="00394AF7">
              <w:rPr>
                <w:b/>
                <w:color w:val="000000"/>
                <w:sz w:val="24"/>
                <w:szCs w:val="24"/>
                <w:lang w:val="en-CA" w:eastAsia="en-CA"/>
              </w:rPr>
              <w:t xml:space="preserve">     </w:t>
            </w:r>
            <w:r>
              <w:rPr>
                <w:b/>
                <w:color w:val="000000"/>
                <w:sz w:val="24"/>
                <w:szCs w:val="24"/>
                <w:lang w:val="en-CA" w:eastAsia="en-CA"/>
              </w:rPr>
              <w:t>903,183</w:t>
            </w:r>
          </w:p>
        </w:tc>
        <w:tc>
          <w:tcPr>
            <w:tcW w:w="1350" w:type="dxa"/>
            <w:tcBorders>
              <w:top w:val="nil"/>
              <w:left w:val="nil"/>
              <w:bottom w:val="single" w:sz="4" w:space="0" w:color="auto"/>
              <w:right w:val="single" w:sz="4" w:space="0" w:color="auto"/>
            </w:tcBorders>
            <w:shd w:val="clear" w:color="auto" w:fill="auto"/>
            <w:vAlign w:val="center"/>
            <w:hideMark/>
          </w:tcPr>
          <w:p w14:paraId="15B2FC1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0E7E131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09CFF80" w14:textId="77777777" w:rsidTr="00040726">
        <w:trPr>
          <w:trHeight w:val="315"/>
        </w:trPr>
        <w:tc>
          <w:tcPr>
            <w:tcW w:w="68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BF5431"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Tier 2 capital: regulatory adjustments</w:t>
            </w:r>
          </w:p>
        </w:tc>
        <w:tc>
          <w:tcPr>
            <w:tcW w:w="1350" w:type="dxa"/>
            <w:tcBorders>
              <w:top w:val="nil"/>
              <w:left w:val="nil"/>
              <w:bottom w:val="single" w:sz="4" w:space="0" w:color="auto"/>
              <w:right w:val="single" w:sz="4" w:space="0" w:color="auto"/>
            </w:tcBorders>
            <w:shd w:val="clear" w:color="auto" w:fill="auto"/>
            <w:vAlign w:val="center"/>
            <w:hideMark/>
          </w:tcPr>
          <w:p w14:paraId="190DC3F4"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1435" w:type="dxa"/>
            <w:tcBorders>
              <w:top w:val="nil"/>
              <w:left w:val="nil"/>
              <w:bottom w:val="single" w:sz="4" w:space="0" w:color="auto"/>
              <w:right w:val="single" w:sz="4" w:space="0" w:color="auto"/>
            </w:tcBorders>
            <w:shd w:val="clear" w:color="auto" w:fill="auto"/>
            <w:vAlign w:val="center"/>
            <w:hideMark/>
          </w:tcPr>
          <w:p w14:paraId="40232DB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4A597AF" w14:textId="77777777" w:rsidTr="00040726">
        <w:trPr>
          <w:trHeight w:val="11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2029250"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52</w:t>
            </w:r>
          </w:p>
        </w:tc>
        <w:tc>
          <w:tcPr>
            <w:tcW w:w="4860" w:type="dxa"/>
            <w:tcBorders>
              <w:top w:val="nil"/>
              <w:left w:val="nil"/>
              <w:bottom w:val="single" w:sz="4" w:space="0" w:color="auto"/>
              <w:right w:val="single" w:sz="4" w:space="0" w:color="auto"/>
            </w:tcBorders>
            <w:shd w:val="clear" w:color="auto" w:fill="auto"/>
            <w:vAlign w:val="center"/>
            <w:hideMark/>
          </w:tcPr>
          <w:p w14:paraId="77B3E57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Investments in own Tier 2 instruments</w:t>
            </w:r>
          </w:p>
        </w:tc>
        <w:tc>
          <w:tcPr>
            <w:tcW w:w="1350" w:type="dxa"/>
            <w:tcBorders>
              <w:top w:val="nil"/>
              <w:left w:val="nil"/>
              <w:bottom w:val="single" w:sz="4" w:space="0" w:color="auto"/>
              <w:right w:val="single" w:sz="4" w:space="0" w:color="auto"/>
            </w:tcBorders>
            <w:shd w:val="clear" w:color="auto" w:fill="auto"/>
            <w:vAlign w:val="center"/>
            <w:hideMark/>
          </w:tcPr>
          <w:p w14:paraId="4B7727B3"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353AE8A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2FFC145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DA6E9C1" w14:textId="77777777" w:rsidTr="00040726">
        <w:trPr>
          <w:trHeight w:val="278"/>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FB9105C"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53</w:t>
            </w:r>
          </w:p>
        </w:tc>
        <w:tc>
          <w:tcPr>
            <w:tcW w:w="4860" w:type="dxa"/>
            <w:tcBorders>
              <w:top w:val="nil"/>
              <w:left w:val="nil"/>
              <w:bottom w:val="single" w:sz="4" w:space="0" w:color="auto"/>
              <w:right w:val="single" w:sz="4" w:space="0" w:color="auto"/>
            </w:tcBorders>
            <w:shd w:val="clear" w:color="auto" w:fill="auto"/>
            <w:vAlign w:val="center"/>
            <w:hideMark/>
          </w:tcPr>
          <w:p w14:paraId="49B54F9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Reciprocal </w:t>
            </w:r>
            <w:proofErr w:type="gramStart"/>
            <w:r w:rsidRPr="001D70E9">
              <w:rPr>
                <w:color w:val="000000"/>
                <w:sz w:val="24"/>
                <w:szCs w:val="24"/>
                <w:lang w:val="en-CA" w:eastAsia="en-CA"/>
              </w:rPr>
              <w:t>cross-holdings</w:t>
            </w:r>
            <w:proofErr w:type="gramEnd"/>
            <w:r w:rsidRPr="001D70E9">
              <w:rPr>
                <w:color w:val="000000"/>
                <w:sz w:val="24"/>
                <w:szCs w:val="24"/>
                <w:lang w:val="en-CA" w:eastAsia="en-CA"/>
              </w:rPr>
              <w:t xml:space="preserve"> in Tier 2 instruments</w:t>
            </w:r>
          </w:p>
        </w:tc>
        <w:tc>
          <w:tcPr>
            <w:tcW w:w="1350" w:type="dxa"/>
            <w:tcBorders>
              <w:top w:val="nil"/>
              <w:left w:val="nil"/>
              <w:bottom w:val="single" w:sz="4" w:space="0" w:color="auto"/>
              <w:right w:val="single" w:sz="4" w:space="0" w:color="auto"/>
            </w:tcBorders>
            <w:shd w:val="clear" w:color="auto" w:fill="auto"/>
            <w:vAlign w:val="center"/>
            <w:hideMark/>
          </w:tcPr>
          <w:p w14:paraId="4BBB6092"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6E749F8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0B18B36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5C6AB65" w14:textId="77777777" w:rsidTr="00040726">
        <w:trPr>
          <w:trHeight w:val="134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17627692"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54</w:t>
            </w:r>
          </w:p>
        </w:tc>
        <w:tc>
          <w:tcPr>
            <w:tcW w:w="4860" w:type="dxa"/>
            <w:tcBorders>
              <w:top w:val="nil"/>
              <w:left w:val="nil"/>
              <w:bottom w:val="single" w:sz="4" w:space="0" w:color="auto"/>
              <w:right w:val="single" w:sz="4" w:space="0" w:color="auto"/>
            </w:tcBorders>
            <w:shd w:val="clear" w:color="auto" w:fill="auto"/>
            <w:vAlign w:val="center"/>
            <w:hideMark/>
          </w:tcPr>
          <w:p w14:paraId="376B704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Investments in the capital of banking, financial and insurance entities that are outside the scope of regulatory consolidation, net of eligible short positions, where the bank does not own more </w:t>
            </w:r>
            <w:r w:rsidRPr="001D70E9">
              <w:rPr>
                <w:color w:val="000000"/>
                <w:sz w:val="24"/>
                <w:szCs w:val="24"/>
                <w:lang w:val="en-CA" w:eastAsia="en-CA"/>
              </w:rPr>
              <w:lastRenderedPageBreak/>
              <w:t>than 10% of the issued common share capital of the entity (amount above the 10% threshold)</w:t>
            </w:r>
          </w:p>
        </w:tc>
        <w:tc>
          <w:tcPr>
            <w:tcW w:w="1350" w:type="dxa"/>
            <w:tcBorders>
              <w:top w:val="nil"/>
              <w:left w:val="nil"/>
              <w:bottom w:val="single" w:sz="4" w:space="0" w:color="auto"/>
              <w:right w:val="single" w:sz="4" w:space="0" w:color="auto"/>
            </w:tcBorders>
            <w:shd w:val="clear" w:color="auto" w:fill="auto"/>
            <w:vAlign w:val="center"/>
            <w:hideMark/>
          </w:tcPr>
          <w:p w14:paraId="2FBEC782"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lastRenderedPageBreak/>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44F881C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0C98321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B1070FF" w14:textId="77777777" w:rsidTr="00040726">
        <w:trPr>
          <w:trHeight w:val="17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1AA1203"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55</w:t>
            </w:r>
          </w:p>
        </w:tc>
        <w:tc>
          <w:tcPr>
            <w:tcW w:w="4860" w:type="dxa"/>
            <w:tcBorders>
              <w:top w:val="nil"/>
              <w:left w:val="nil"/>
              <w:bottom w:val="single" w:sz="4" w:space="0" w:color="auto"/>
              <w:right w:val="single" w:sz="4" w:space="0" w:color="auto"/>
            </w:tcBorders>
            <w:shd w:val="clear" w:color="auto" w:fill="auto"/>
            <w:vAlign w:val="center"/>
            <w:hideMark/>
          </w:tcPr>
          <w:p w14:paraId="2481F28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Significant investments13in the capital banking, financial and insurance entities that are outside the scope of regulatory consolidation (net of eligible short positions)</w:t>
            </w:r>
          </w:p>
        </w:tc>
        <w:tc>
          <w:tcPr>
            <w:tcW w:w="1350" w:type="dxa"/>
            <w:tcBorders>
              <w:top w:val="nil"/>
              <w:left w:val="nil"/>
              <w:bottom w:val="single" w:sz="4" w:space="0" w:color="auto"/>
              <w:right w:val="single" w:sz="4" w:space="0" w:color="auto"/>
            </w:tcBorders>
            <w:shd w:val="clear" w:color="auto" w:fill="auto"/>
            <w:vAlign w:val="center"/>
            <w:hideMark/>
          </w:tcPr>
          <w:p w14:paraId="28410A9E"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62411B6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76C412C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1E41B30" w14:textId="77777777" w:rsidTr="00040726">
        <w:trPr>
          <w:trHeight w:val="6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0CBBC48"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56</w:t>
            </w:r>
          </w:p>
        </w:tc>
        <w:tc>
          <w:tcPr>
            <w:tcW w:w="4860" w:type="dxa"/>
            <w:tcBorders>
              <w:top w:val="nil"/>
              <w:left w:val="nil"/>
              <w:bottom w:val="single" w:sz="4" w:space="0" w:color="auto"/>
              <w:right w:val="single" w:sz="4" w:space="0" w:color="auto"/>
            </w:tcBorders>
            <w:shd w:val="clear" w:color="auto" w:fill="auto"/>
            <w:vAlign w:val="center"/>
            <w:hideMark/>
          </w:tcPr>
          <w:p w14:paraId="4302E13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National specific regulatory adjustments (56a+56b)</w:t>
            </w:r>
          </w:p>
        </w:tc>
        <w:tc>
          <w:tcPr>
            <w:tcW w:w="1350" w:type="dxa"/>
            <w:tcBorders>
              <w:top w:val="nil"/>
              <w:left w:val="nil"/>
              <w:bottom w:val="single" w:sz="4" w:space="0" w:color="auto"/>
              <w:right w:val="single" w:sz="4" w:space="0" w:color="auto"/>
            </w:tcBorders>
            <w:shd w:val="clear" w:color="auto" w:fill="auto"/>
            <w:vAlign w:val="center"/>
            <w:hideMark/>
          </w:tcPr>
          <w:p w14:paraId="608794C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4C63C2A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2A2E6BA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08B4937" w14:textId="77777777" w:rsidTr="00040726">
        <w:trPr>
          <w:trHeight w:val="22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6F3EB83"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56a</w:t>
            </w:r>
          </w:p>
        </w:tc>
        <w:tc>
          <w:tcPr>
            <w:tcW w:w="4860" w:type="dxa"/>
            <w:tcBorders>
              <w:top w:val="nil"/>
              <w:left w:val="nil"/>
              <w:bottom w:val="single" w:sz="4" w:space="0" w:color="auto"/>
              <w:right w:val="single" w:sz="4" w:space="0" w:color="auto"/>
            </w:tcBorders>
            <w:shd w:val="clear" w:color="auto" w:fill="auto"/>
            <w:vAlign w:val="center"/>
            <w:hideMark/>
          </w:tcPr>
          <w:p w14:paraId="469EC9B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Investments in the Tier 2 capital of unconsolidated insurance subsidiaries</w:t>
            </w:r>
          </w:p>
        </w:tc>
        <w:tc>
          <w:tcPr>
            <w:tcW w:w="1350" w:type="dxa"/>
            <w:tcBorders>
              <w:top w:val="nil"/>
              <w:left w:val="nil"/>
              <w:bottom w:val="single" w:sz="4" w:space="0" w:color="auto"/>
              <w:right w:val="single" w:sz="4" w:space="0" w:color="auto"/>
            </w:tcBorders>
            <w:shd w:val="clear" w:color="auto" w:fill="auto"/>
            <w:vAlign w:val="center"/>
            <w:hideMark/>
          </w:tcPr>
          <w:p w14:paraId="54AD7C7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1E8D05A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231D928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AB6C395" w14:textId="77777777" w:rsidTr="00040726">
        <w:trPr>
          <w:trHeight w:val="116"/>
        </w:trPr>
        <w:tc>
          <w:tcPr>
            <w:tcW w:w="645" w:type="dxa"/>
            <w:vMerge w:val="restart"/>
            <w:tcBorders>
              <w:top w:val="nil"/>
              <w:left w:val="single" w:sz="4" w:space="0" w:color="auto"/>
              <w:bottom w:val="single" w:sz="4" w:space="0" w:color="auto"/>
              <w:right w:val="single" w:sz="4" w:space="0" w:color="auto"/>
            </w:tcBorders>
            <w:shd w:val="clear" w:color="auto" w:fill="auto"/>
            <w:vAlign w:val="center"/>
            <w:hideMark/>
          </w:tcPr>
          <w:p w14:paraId="3A84ACB4"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56b</w:t>
            </w:r>
          </w:p>
        </w:tc>
        <w:tc>
          <w:tcPr>
            <w:tcW w:w="4860" w:type="dxa"/>
            <w:tcBorders>
              <w:top w:val="nil"/>
              <w:left w:val="nil"/>
              <w:bottom w:val="single" w:sz="4" w:space="0" w:color="auto"/>
              <w:right w:val="single" w:sz="4" w:space="0" w:color="auto"/>
            </w:tcBorders>
            <w:shd w:val="clear" w:color="auto" w:fill="auto"/>
            <w:vAlign w:val="center"/>
            <w:hideMark/>
          </w:tcPr>
          <w:p w14:paraId="0EE25A8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i/>
                <w:iCs/>
                <w:color w:val="000000"/>
                <w:sz w:val="24"/>
                <w:szCs w:val="24"/>
                <w:lang w:val="en-CA" w:eastAsia="en-CA"/>
              </w:rPr>
              <w:t xml:space="preserve"> </w:t>
            </w:r>
            <w:r w:rsidRPr="001D70E9">
              <w:rPr>
                <w:color w:val="000000"/>
                <w:sz w:val="24"/>
                <w:szCs w:val="24"/>
                <w:lang w:val="en-CA" w:eastAsia="en-CA"/>
              </w:rPr>
              <w:t>Shortfall in the Tier 2 capital of majority owned financial entities which have not been consolidated with the bank</w:t>
            </w:r>
          </w:p>
        </w:tc>
        <w:tc>
          <w:tcPr>
            <w:tcW w:w="1350" w:type="dxa"/>
            <w:tcBorders>
              <w:top w:val="nil"/>
              <w:left w:val="nil"/>
              <w:bottom w:val="single" w:sz="4" w:space="0" w:color="auto"/>
              <w:right w:val="single" w:sz="4" w:space="0" w:color="auto"/>
            </w:tcBorders>
            <w:shd w:val="clear" w:color="auto" w:fill="auto"/>
            <w:vAlign w:val="center"/>
            <w:hideMark/>
          </w:tcPr>
          <w:p w14:paraId="1CB86894"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6990C6B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72232E5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0C8D0C7" w14:textId="77777777" w:rsidTr="00040726">
        <w:trPr>
          <w:trHeight w:val="539"/>
        </w:trPr>
        <w:tc>
          <w:tcPr>
            <w:tcW w:w="645" w:type="dxa"/>
            <w:vMerge/>
            <w:tcBorders>
              <w:top w:val="nil"/>
              <w:left w:val="single" w:sz="4" w:space="0" w:color="auto"/>
              <w:bottom w:val="single" w:sz="4" w:space="0" w:color="auto"/>
              <w:right w:val="single" w:sz="4" w:space="0" w:color="auto"/>
            </w:tcBorders>
            <w:vAlign w:val="center"/>
            <w:hideMark/>
          </w:tcPr>
          <w:p w14:paraId="607A19A5"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4736CC1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Regulatory Adjustments Applied </w:t>
            </w:r>
            <w:proofErr w:type="gramStart"/>
            <w:r w:rsidRPr="001D70E9">
              <w:rPr>
                <w:color w:val="000000"/>
                <w:sz w:val="24"/>
                <w:szCs w:val="24"/>
                <w:lang w:val="en-CA" w:eastAsia="en-CA"/>
              </w:rPr>
              <w:t>To</w:t>
            </w:r>
            <w:proofErr w:type="gramEnd"/>
            <w:r w:rsidRPr="001D70E9">
              <w:rPr>
                <w:color w:val="000000"/>
                <w:sz w:val="24"/>
                <w:szCs w:val="24"/>
                <w:lang w:val="en-CA" w:eastAsia="en-CA"/>
              </w:rPr>
              <w:t xml:space="preserve"> Tier 2 in respect of Amounts Subject to Pre-Basel III Treatment</w:t>
            </w:r>
          </w:p>
        </w:tc>
        <w:tc>
          <w:tcPr>
            <w:tcW w:w="1350" w:type="dxa"/>
            <w:tcBorders>
              <w:top w:val="nil"/>
              <w:left w:val="nil"/>
              <w:bottom w:val="single" w:sz="4" w:space="0" w:color="auto"/>
              <w:right w:val="single" w:sz="4" w:space="0" w:color="auto"/>
            </w:tcBorders>
            <w:shd w:val="clear" w:color="auto" w:fill="auto"/>
            <w:vAlign w:val="center"/>
            <w:hideMark/>
          </w:tcPr>
          <w:p w14:paraId="1C3FB56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531F8C6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7C5A570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349A493" w14:textId="77777777" w:rsidTr="00040726">
        <w:trPr>
          <w:trHeight w:val="413"/>
        </w:trPr>
        <w:tc>
          <w:tcPr>
            <w:tcW w:w="645" w:type="dxa"/>
            <w:vMerge/>
            <w:tcBorders>
              <w:top w:val="nil"/>
              <w:left w:val="single" w:sz="4" w:space="0" w:color="auto"/>
              <w:bottom w:val="single" w:sz="4" w:space="0" w:color="auto"/>
              <w:right w:val="single" w:sz="4" w:space="0" w:color="auto"/>
            </w:tcBorders>
            <w:vAlign w:val="center"/>
            <w:hideMark/>
          </w:tcPr>
          <w:p w14:paraId="22FE2F3F"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0C674C4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[INSERT TYPE OF ADJUSTMENT e.g. existing adjustments which are deducted from Tier 2 at 50%]</w:t>
            </w:r>
          </w:p>
        </w:tc>
        <w:tc>
          <w:tcPr>
            <w:tcW w:w="1350" w:type="dxa"/>
            <w:tcBorders>
              <w:top w:val="nil"/>
              <w:left w:val="nil"/>
              <w:bottom w:val="single" w:sz="4" w:space="0" w:color="auto"/>
              <w:right w:val="single" w:sz="4" w:space="0" w:color="auto"/>
            </w:tcBorders>
            <w:shd w:val="clear" w:color="auto" w:fill="auto"/>
            <w:vAlign w:val="center"/>
            <w:hideMark/>
          </w:tcPr>
          <w:p w14:paraId="71E5B85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14DF1564"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D4460FD"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FB447B1" w14:textId="77777777" w:rsidTr="00040726">
        <w:trPr>
          <w:trHeight w:val="64"/>
        </w:trPr>
        <w:tc>
          <w:tcPr>
            <w:tcW w:w="645" w:type="dxa"/>
            <w:vMerge/>
            <w:tcBorders>
              <w:top w:val="nil"/>
              <w:left w:val="single" w:sz="4" w:space="0" w:color="auto"/>
              <w:bottom w:val="single" w:sz="4" w:space="0" w:color="auto"/>
              <w:right w:val="single" w:sz="4" w:space="0" w:color="auto"/>
            </w:tcBorders>
            <w:vAlign w:val="center"/>
            <w:hideMark/>
          </w:tcPr>
          <w:p w14:paraId="4B3B6D00"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41D16B6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[INSERT TYPE OF ADJUSTMENT</w:t>
            </w:r>
          </w:p>
        </w:tc>
        <w:tc>
          <w:tcPr>
            <w:tcW w:w="1350" w:type="dxa"/>
            <w:tcBorders>
              <w:top w:val="nil"/>
              <w:left w:val="nil"/>
              <w:bottom w:val="single" w:sz="4" w:space="0" w:color="auto"/>
              <w:right w:val="single" w:sz="4" w:space="0" w:color="auto"/>
            </w:tcBorders>
            <w:shd w:val="clear" w:color="auto" w:fill="auto"/>
            <w:vAlign w:val="center"/>
            <w:hideMark/>
          </w:tcPr>
          <w:p w14:paraId="1A12E09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613E7F8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35AE6DB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9FAE5C7" w14:textId="77777777" w:rsidTr="00040726">
        <w:trPr>
          <w:trHeight w:val="197"/>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22F4A4F"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57</w:t>
            </w:r>
          </w:p>
        </w:tc>
        <w:tc>
          <w:tcPr>
            <w:tcW w:w="4860" w:type="dxa"/>
            <w:tcBorders>
              <w:top w:val="nil"/>
              <w:left w:val="nil"/>
              <w:bottom w:val="single" w:sz="4" w:space="0" w:color="auto"/>
              <w:right w:val="single" w:sz="4" w:space="0" w:color="auto"/>
            </w:tcBorders>
            <w:shd w:val="clear" w:color="auto" w:fill="auto"/>
            <w:vAlign w:val="center"/>
            <w:hideMark/>
          </w:tcPr>
          <w:p w14:paraId="2B42A007"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Total regulatory adjustments to Tier 2 capital</w:t>
            </w:r>
          </w:p>
        </w:tc>
        <w:tc>
          <w:tcPr>
            <w:tcW w:w="1350" w:type="dxa"/>
            <w:tcBorders>
              <w:top w:val="nil"/>
              <w:left w:val="nil"/>
              <w:bottom w:val="single" w:sz="4" w:space="0" w:color="auto"/>
              <w:right w:val="single" w:sz="4" w:space="0" w:color="auto"/>
            </w:tcBorders>
            <w:shd w:val="clear" w:color="auto" w:fill="auto"/>
            <w:vAlign w:val="center"/>
            <w:hideMark/>
          </w:tcPr>
          <w:p w14:paraId="3601F28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03C1F18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25C4CC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414F88C" w14:textId="77777777" w:rsidTr="00040726">
        <w:trPr>
          <w:trHeight w:val="8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94E01EC"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58</w:t>
            </w:r>
          </w:p>
        </w:tc>
        <w:tc>
          <w:tcPr>
            <w:tcW w:w="4860" w:type="dxa"/>
            <w:tcBorders>
              <w:top w:val="nil"/>
              <w:left w:val="nil"/>
              <w:bottom w:val="single" w:sz="4" w:space="0" w:color="auto"/>
              <w:right w:val="single" w:sz="4" w:space="0" w:color="auto"/>
            </w:tcBorders>
            <w:shd w:val="clear" w:color="auto" w:fill="auto"/>
            <w:vAlign w:val="center"/>
            <w:hideMark/>
          </w:tcPr>
          <w:p w14:paraId="20AC9387"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Tier 2 capital (T2)</w:t>
            </w:r>
          </w:p>
        </w:tc>
        <w:tc>
          <w:tcPr>
            <w:tcW w:w="1350" w:type="dxa"/>
            <w:tcBorders>
              <w:top w:val="nil"/>
              <w:left w:val="nil"/>
              <w:bottom w:val="single" w:sz="4" w:space="0" w:color="auto"/>
              <w:right w:val="single" w:sz="4" w:space="0" w:color="auto"/>
            </w:tcBorders>
            <w:shd w:val="clear" w:color="auto" w:fill="auto"/>
            <w:vAlign w:val="center"/>
            <w:hideMark/>
          </w:tcPr>
          <w:p w14:paraId="17A45EE3" w14:textId="77777777" w:rsidR="004C1CA7" w:rsidRPr="00394AF7" w:rsidRDefault="004C1CA7" w:rsidP="00040726">
            <w:pPr>
              <w:overflowPunct/>
              <w:autoSpaceDE/>
              <w:autoSpaceDN/>
              <w:adjustRightInd/>
              <w:jc w:val="right"/>
              <w:textAlignment w:val="auto"/>
              <w:rPr>
                <w:b/>
                <w:bCs/>
                <w:color w:val="000000"/>
                <w:sz w:val="24"/>
                <w:szCs w:val="24"/>
                <w:lang w:val="en-CA" w:eastAsia="en-CA"/>
              </w:rPr>
            </w:pPr>
            <w:r>
              <w:rPr>
                <w:b/>
                <w:bCs/>
                <w:color w:val="000000"/>
                <w:sz w:val="24"/>
                <w:szCs w:val="24"/>
                <w:lang w:val="en-CA" w:eastAsia="en-CA"/>
              </w:rPr>
              <w:t>903,183</w:t>
            </w:r>
          </w:p>
        </w:tc>
        <w:tc>
          <w:tcPr>
            <w:tcW w:w="1350" w:type="dxa"/>
            <w:tcBorders>
              <w:top w:val="nil"/>
              <w:left w:val="nil"/>
              <w:bottom w:val="single" w:sz="4" w:space="0" w:color="auto"/>
              <w:right w:val="single" w:sz="4" w:space="0" w:color="auto"/>
            </w:tcBorders>
            <w:shd w:val="clear" w:color="auto" w:fill="auto"/>
            <w:vAlign w:val="center"/>
            <w:hideMark/>
          </w:tcPr>
          <w:p w14:paraId="17D8F0D3"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789B97A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458E8B2" w14:textId="77777777" w:rsidTr="00040726">
        <w:trPr>
          <w:trHeight w:val="6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38FCC7B"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58a</w:t>
            </w:r>
          </w:p>
        </w:tc>
        <w:tc>
          <w:tcPr>
            <w:tcW w:w="4860" w:type="dxa"/>
            <w:tcBorders>
              <w:top w:val="nil"/>
              <w:left w:val="nil"/>
              <w:bottom w:val="single" w:sz="4" w:space="0" w:color="auto"/>
              <w:right w:val="single" w:sz="4" w:space="0" w:color="auto"/>
            </w:tcBorders>
            <w:shd w:val="clear" w:color="auto" w:fill="auto"/>
            <w:vAlign w:val="center"/>
            <w:hideMark/>
          </w:tcPr>
          <w:p w14:paraId="2EA4585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Tier 2 capital reckoned for capital adequacy14</w:t>
            </w:r>
          </w:p>
        </w:tc>
        <w:tc>
          <w:tcPr>
            <w:tcW w:w="1350" w:type="dxa"/>
            <w:tcBorders>
              <w:top w:val="nil"/>
              <w:left w:val="nil"/>
              <w:bottom w:val="single" w:sz="4" w:space="0" w:color="auto"/>
              <w:right w:val="single" w:sz="4" w:space="0" w:color="auto"/>
            </w:tcBorders>
            <w:shd w:val="clear" w:color="auto" w:fill="auto"/>
            <w:vAlign w:val="center"/>
            <w:hideMark/>
          </w:tcPr>
          <w:p w14:paraId="71DCAF6E" w14:textId="77777777" w:rsidR="004C1CA7" w:rsidRPr="00394AF7" w:rsidRDefault="004C1CA7" w:rsidP="00040726">
            <w:pPr>
              <w:overflowPunct/>
              <w:autoSpaceDE/>
              <w:autoSpaceDN/>
              <w:adjustRightInd/>
              <w:jc w:val="center"/>
              <w:textAlignment w:val="auto"/>
              <w:rPr>
                <w:color w:val="000000"/>
                <w:sz w:val="24"/>
                <w:szCs w:val="24"/>
                <w:lang w:val="en-CA" w:eastAsia="en-CA"/>
              </w:rPr>
            </w:pPr>
            <w:r w:rsidRPr="00394AF7">
              <w:rPr>
                <w:color w:val="000000"/>
                <w:sz w:val="24"/>
                <w:szCs w:val="24"/>
                <w:lang w:val="en-CA" w:eastAsia="en-CA"/>
              </w:rPr>
              <w:t xml:space="preserve">    </w:t>
            </w:r>
            <w:r>
              <w:rPr>
                <w:color w:val="000000"/>
                <w:sz w:val="24"/>
                <w:szCs w:val="24"/>
                <w:lang w:val="en-CA" w:eastAsia="en-CA"/>
              </w:rPr>
              <w:t>903,183</w:t>
            </w:r>
          </w:p>
        </w:tc>
        <w:tc>
          <w:tcPr>
            <w:tcW w:w="1350" w:type="dxa"/>
            <w:tcBorders>
              <w:top w:val="nil"/>
              <w:left w:val="nil"/>
              <w:bottom w:val="single" w:sz="4" w:space="0" w:color="auto"/>
              <w:right w:val="single" w:sz="4" w:space="0" w:color="auto"/>
            </w:tcBorders>
            <w:shd w:val="clear" w:color="auto" w:fill="auto"/>
            <w:vAlign w:val="center"/>
            <w:hideMark/>
          </w:tcPr>
          <w:p w14:paraId="3A42FBE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36C6D15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1BFCF89" w14:textId="77777777" w:rsidTr="00040726">
        <w:trPr>
          <w:trHeight w:val="6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1E3A717"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58b</w:t>
            </w:r>
          </w:p>
        </w:tc>
        <w:tc>
          <w:tcPr>
            <w:tcW w:w="4860" w:type="dxa"/>
            <w:tcBorders>
              <w:top w:val="nil"/>
              <w:left w:val="nil"/>
              <w:bottom w:val="single" w:sz="4" w:space="0" w:color="auto"/>
              <w:right w:val="single" w:sz="4" w:space="0" w:color="auto"/>
            </w:tcBorders>
            <w:shd w:val="clear" w:color="auto" w:fill="auto"/>
            <w:vAlign w:val="center"/>
            <w:hideMark/>
          </w:tcPr>
          <w:p w14:paraId="758E008F"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Excess Additional Tier 1 capital reckoned as Tier 2 capital</w:t>
            </w:r>
          </w:p>
        </w:tc>
        <w:tc>
          <w:tcPr>
            <w:tcW w:w="1350" w:type="dxa"/>
            <w:tcBorders>
              <w:top w:val="nil"/>
              <w:left w:val="nil"/>
              <w:bottom w:val="single" w:sz="4" w:space="0" w:color="auto"/>
              <w:right w:val="single" w:sz="4" w:space="0" w:color="auto"/>
            </w:tcBorders>
            <w:shd w:val="clear" w:color="auto" w:fill="auto"/>
            <w:vAlign w:val="center"/>
            <w:hideMark/>
          </w:tcPr>
          <w:p w14:paraId="63B85AA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327B418A"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3D8E28C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5A17FEA" w14:textId="77777777" w:rsidTr="00040726">
        <w:trPr>
          <w:trHeight w:val="6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68981CE"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58c</w:t>
            </w:r>
          </w:p>
        </w:tc>
        <w:tc>
          <w:tcPr>
            <w:tcW w:w="4860" w:type="dxa"/>
            <w:tcBorders>
              <w:top w:val="nil"/>
              <w:left w:val="nil"/>
              <w:bottom w:val="single" w:sz="4" w:space="0" w:color="auto"/>
              <w:right w:val="single" w:sz="4" w:space="0" w:color="auto"/>
            </w:tcBorders>
            <w:shd w:val="clear" w:color="auto" w:fill="auto"/>
            <w:vAlign w:val="center"/>
            <w:hideMark/>
          </w:tcPr>
          <w:p w14:paraId="644576CD"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Total Tier 2 capital admissible for capital adequacy (58a + 58b)</w:t>
            </w:r>
          </w:p>
        </w:tc>
        <w:tc>
          <w:tcPr>
            <w:tcW w:w="1350" w:type="dxa"/>
            <w:tcBorders>
              <w:top w:val="nil"/>
              <w:left w:val="nil"/>
              <w:bottom w:val="single" w:sz="4" w:space="0" w:color="auto"/>
              <w:right w:val="single" w:sz="4" w:space="0" w:color="auto"/>
            </w:tcBorders>
            <w:shd w:val="clear" w:color="auto" w:fill="auto"/>
            <w:vAlign w:val="center"/>
            <w:hideMark/>
          </w:tcPr>
          <w:p w14:paraId="57EB94CD" w14:textId="77777777" w:rsidR="004C1CA7" w:rsidRPr="00FA75F6" w:rsidRDefault="004C1CA7" w:rsidP="00040726">
            <w:pPr>
              <w:overflowPunct/>
              <w:autoSpaceDE/>
              <w:autoSpaceDN/>
              <w:adjustRightInd/>
              <w:jc w:val="right"/>
              <w:textAlignment w:val="auto"/>
              <w:rPr>
                <w:b/>
                <w:bCs/>
                <w:color w:val="000000"/>
                <w:sz w:val="24"/>
                <w:szCs w:val="24"/>
                <w:lang w:val="en-CA" w:eastAsia="en-CA"/>
              </w:rPr>
            </w:pPr>
            <w:r w:rsidRPr="001D70E9">
              <w:rPr>
                <w:b/>
                <w:bCs/>
                <w:color w:val="000000"/>
                <w:sz w:val="24"/>
                <w:szCs w:val="24"/>
                <w:lang w:val="en-CA" w:eastAsia="en-CA"/>
              </w:rPr>
              <w:t xml:space="preserve">        </w:t>
            </w:r>
            <w:r>
              <w:rPr>
                <w:b/>
                <w:color w:val="000000"/>
                <w:sz w:val="24"/>
                <w:szCs w:val="24"/>
                <w:lang w:val="en-CA" w:eastAsia="en-CA"/>
              </w:rPr>
              <w:t>903,183</w:t>
            </w:r>
          </w:p>
        </w:tc>
        <w:tc>
          <w:tcPr>
            <w:tcW w:w="1350" w:type="dxa"/>
            <w:tcBorders>
              <w:top w:val="nil"/>
              <w:left w:val="nil"/>
              <w:bottom w:val="single" w:sz="4" w:space="0" w:color="auto"/>
              <w:right w:val="single" w:sz="4" w:space="0" w:color="auto"/>
            </w:tcBorders>
            <w:shd w:val="clear" w:color="auto" w:fill="auto"/>
            <w:vAlign w:val="center"/>
            <w:hideMark/>
          </w:tcPr>
          <w:p w14:paraId="03B85FC2"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533E3C7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0A1F78C" w14:textId="77777777" w:rsidTr="00040726">
        <w:trPr>
          <w:trHeight w:val="6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FB4E4B5"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59</w:t>
            </w:r>
          </w:p>
        </w:tc>
        <w:tc>
          <w:tcPr>
            <w:tcW w:w="4860" w:type="dxa"/>
            <w:tcBorders>
              <w:top w:val="nil"/>
              <w:left w:val="nil"/>
              <w:bottom w:val="single" w:sz="4" w:space="0" w:color="auto"/>
              <w:right w:val="single" w:sz="4" w:space="0" w:color="auto"/>
            </w:tcBorders>
            <w:shd w:val="clear" w:color="auto" w:fill="auto"/>
            <w:vAlign w:val="center"/>
            <w:hideMark/>
          </w:tcPr>
          <w:p w14:paraId="09B6F682" w14:textId="77777777" w:rsidR="004C1CA7" w:rsidRPr="00864BAD" w:rsidRDefault="004C1CA7" w:rsidP="00040726">
            <w:pPr>
              <w:overflowPunct/>
              <w:autoSpaceDE/>
              <w:autoSpaceDN/>
              <w:adjustRightInd/>
              <w:textAlignment w:val="auto"/>
              <w:rPr>
                <w:b/>
                <w:bCs/>
                <w:color w:val="000000"/>
                <w:sz w:val="24"/>
                <w:szCs w:val="24"/>
                <w:lang w:val="fr-FR" w:eastAsia="en-CA"/>
              </w:rPr>
            </w:pPr>
            <w:r w:rsidRPr="00864BAD">
              <w:rPr>
                <w:b/>
                <w:bCs/>
                <w:color w:val="000000"/>
                <w:sz w:val="24"/>
                <w:szCs w:val="24"/>
                <w:lang w:val="fr-FR" w:eastAsia="en-CA"/>
              </w:rPr>
              <w:t>Total capital (TC = T1 + Admissible T2) (45 + 58c)</w:t>
            </w:r>
          </w:p>
        </w:tc>
        <w:tc>
          <w:tcPr>
            <w:tcW w:w="1350" w:type="dxa"/>
            <w:tcBorders>
              <w:top w:val="nil"/>
              <w:left w:val="nil"/>
              <w:bottom w:val="single" w:sz="4" w:space="0" w:color="auto"/>
              <w:right w:val="single" w:sz="4" w:space="0" w:color="auto"/>
            </w:tcBorders>
            <w:shd w:val="clear" w:color="auto" w:fill="auto"/>
            <w:vAlign w:val="center"/>
            <w:hideMark/>
          </w:tcPr>
          <w:p w14:paraId="4B1B8B5A" w14:textId="77777777" w:rsidR="004C1CA7" w:rsidRPr="001D70E9" w:rsidRDefault="004C1CA7" w:rsidP="00040726">
            <w:pPr>
              <w:overflowPunct/>
              <w:autoSpaceDE/>
              <w:autoSpaceDN/>
              <w:adjustRightInd/>
              <w:jc w:val="right"/>
              <w:textAlignment w:val="auto"/>
              <w:rPr>
                <w:b/>
                <w:bCs/>
                <w:color w:val="000000"/>
                <w:sz w:val="24"/>
                <w:szCs w:val="24"/>
                <w:lang w:val="en-CA" w:eastAsia="en-CA"/>
              </w:rPr>
            </w:pPr>
            <w:r w:rsidRPr="00864BAD">
              <w:rPr>
                <w:b/>
                <w:bCs/>
                <w:color w:val="000000"/>
                <w:sz w:val="24"/>
                <w:szCs w:val="24"/>
                <w:lang w:val="fr-FR" w:eastAsia="en-CA"/>
              </w:rPr>
              <w:t xml:space="preserve">  </w:t>
            </w:r>
            <w:r>
              <w:rPr>
                <w:b/>
                <w:bCs/>
                <w:color w:val="000000"/>
                <w:sz w:val="24"/>
                <w:szCs w:val="24"/>
                <w:lang w:val="en-CA" w:eastAsia="en-CA"/>
              </w:rPr>
              <w:t>18,012,177</w:t>
            </w:r>
            <w:r w:rsidRPr="001D70E9">
              <w:rPr>
                <w:b/>
                <w:bCs/>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7ABDE963"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62AF782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B153743" w14:textId="77777777" w:rsidTr="00040726">
        <w:trPr>
          <w:trHeight w:val="206"/>
        </w:trPr>
        <w:tc>
          <w:tcPr>
            <w:tcW w:w="645" w:type="dxa"/>
            <w:vMerge w:val="restart"/>
            <w:tcBorders>
              <w:top w:val="nil"/>
              <w:left w:val="single" w:sz="4" w:space="0" w:color="auto"/>
              <w:bottom w:val="single" w:sz="4" w:space="0" w:color="auto"/>
              <w:right w:val="single" w:sz="4" w:space="0" w:color="auto"/>
            </w:tcBorders>
            <w:shd w:val="clear" w:color="auto" w:fill="auto"/>
            <w:vAlign w:val="center"/>
            <w:hideMark/>
          </w:tcPr>
          <w:p w14:paraId="60A254E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c>
          <w:tcPr>
            <w:tcW w:w="4860" w:type="dxa"/>
            <w:tcBorders>
              <w:top w:val="nil"/>
              <w:left w:val="nil"/>
              <w:bottom w:val="single" w:sz="4" w:space="0" w:color="auto"/>
              <w:right w:val="single" w:sz="4" w:space="0" w:color="auto"/>
            </w:tcBorders>
            <w:shd w:val="clear" w:color="auto" w:fill="auto"/>
            <w:vAlign w:val="center"/>
            <w:hideMark/>
          </w:tcPr>
          <w:p w14:paraId="4E9F1D3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Risk Weighted Assets in respect of Amounts Subject to Pre-Basel III Treatment</w:t>
            </w:r>
          </w:p>
        </w:tc>
        <w:tc>
          <w:tcPr>
            <w:tcW w:w="1350" w:type="dxa"/>
            <w:tcBorders>
              <w:top w:val="nil"/>
              <w:left w:val="nil"/>
              <w:bottom w:val="single" w:sz="4" w:space="0" w:color="auto"/>
              <w:right w:val="single" w:sz="4" w:space="0" w:color="auto"/>
            </w:tcBorders>
            <w:shd w:val="clear" w:color="auto" w:fill="auto"/>
            <w:vAlign w:val="center"/>
            <w:hideMark/>
          </w:tcPr>
          <w:p w14:paraId="4930DEB6"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72DCBF23"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199D857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1260C0F" w14:textId="77777777" w:rsidTr="00040726">
        <w:trPr>
          <w:trHeight w:val="80"/>
        </w:trPr>
        <w:tc>
          <w:tcPr>
            <w:tcW w:w="645" w:type="dxa"/>
            <w:vMerge/>
            <w:tcBorders>
              <w:top w:val="nil"/>
              <w:left w:val="single" w:sz="4" w:space="0" w:color="auto"/>
              <w:bottom w:val="single" w:sz="4" w:space="0" w:color="auto"/>
              <w:right w:val="single" w:sz="4" w:space="0" w:color="auto"/>
            </w:tcBorders>
            <w:vAlign w:val="center"/>
            <w:hideMark/>
          </w:tcPr>
          <w:p w14:paraId="07F5DECF"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7E715A0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[INSERT TYPE OF ADJUSTMENT]</w:t>
            </w:r>
          </w:p>
        </w:tc>
        <w:tc>
          <w:tcPr>
            <w:tcW w:w="1350" w:type="dxa"/>
            <w:tcBorders>
              <w:top w:val="nil"/>
              <w:left w:val="nil"/>
              <w:bottom w:val="single" w:sz="4" w:space="0" w:color="auto"/>
              <w:right w:val="single" w:sz="4" w:space="0" w:color="auto"/>
            </w:tcBorders>
            <w:shd w:val="clear" w:color="auto" w:fill="auto"/>
            <w:vAlign w:val="center"/>
            <w:hideMark/>
          </w:tcPr>
          <w:p w14:paraId="5D97AC8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1EC2F67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3876D06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C96189E" w14:textId="77777777" w:rsidTr="00040726">
        <w:trPr>
          <w:trHeight w:val="71"/>
        </w:trPr>
        <w:tc>
          <w:tcPr>
            <w:tcW w:w="645" w:type="dxa"/>
            <w:vMerge/>
            <w:tcBorders>
              <w:top w:val="nil"/>
              <w:left w:val="single" w:sz="4" w:space="0" w:color="auto"/>
              <w:bottom w:val="single" w:sz="4" w:space="0" w:color="auto"/>
              <w:right w:val="single" w:sz="4" w:space="0" w:color="auto"/>
            </w:tcBorders>
            <w:vAlign w:val="center"/>
            <w:hideMark/>
          </w:tcPr>
          <w:p w14:paraId="6BA972F7"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5EAC4D9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1328737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11E17FA2"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12EA2B9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9D3D8AF" w14:textId="77777777" w:rsidTr="00040726">
        <w:trPr>
          <w:trHeight w:val="323"/>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53B2F0D"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60</w:t>
            </w:r>
          </w:p>
        </w:tc>
        <w:tc>
          <w:tcPr>
            <w:tcW w:w="4860" w:type="dxa"/>
            <w:tcBorders>
              <w:top w:val="nil"/>
              <w:left w:val="nil"/>
              <w:bottom w:val="single" w:sz="4" w:space="0" w:color="auto"/>
              <w:right w:val="single" w:sz="4" w:space="0" w:color="auto"/>
            </w:tcBorders>
            <w:shd w:val="clear" w:color="auto" w:fill="auto"/>
            <w:vAlign w:val="center"/>
            <w:hideMark/>
          </w:tcPr>
          <w:p w14:paraId="2A88F4C5"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Total risk weighted assets (60a + 60b + 60c)</w:t>
            </w:r>
          </w:p>
        </w:tc>
        <w:tc>
          <w:tcPr>
            <w:tcW w:w="1350" w:type="dxa"/>
            <w:tcBorders>
              <w:top w:val="nil"/>
              <w:left w:val="nil"/>
              <w:bottom w:val="single" w:sz="4" w:space="0" w:color="auto"/>
              <w:right w:val="single" w:sz="4" w:space="0" w:color="auto"/>
            </w:tcBorders>
            <w:shd w:val="clear" w:color="auto" w:fill="auto"/>
            <w:vAlign w:val="center"/>
            <w:hideMark/>
          </w:tcPr>
          <w:p w14:paraId="6322E462" w14:textId="77777777" w:rsidR="004C1CA7" w:rsidRPr="001D70E9" w:rsidRDefault="004C1CA7" w:rsidP="00040726">
            <w:pPr>
              <w:overflowPunct/>
              <w:autoSpaceDE/>
              <w:autoSpaceDN/>
              <w:adjustRightInd/>
              <w:textAlignment w:val="auto"/>
              <w:rPr>
                <w:b/>
                <w:bCs/>
                <w:color w:val="000000"/>
                <w:sz w:val="24"/>
                <w:szCs w:val="24"/>
                <w:lang w:val="en-CA" w:eastAsia="en-CA"/>
              </w:rPr>
            </w:pPr>
            <w:r>
              <w:rPr>
                <w:b/>
                <w:bCs/>
                <w:color w:val="000000"/>
                <w:sz w:val="24"/>
                <w:szCs w:val="24"/>
                <w:lang w:val="en-CA" w:eastAsia="en-CA"/>
              </w:rPr>
              <w:t>37,384,296</w:t>
            </w:r>
          </w:p>
        </w:tc>
        <w:tc>
          <w:tcPr>
            <w:tcW w:w="1350" w:type="dxa"/>
            <w:tcBorders>
              <w:top w:val="nil"/>
              <w:left w:val="nil"/>
              <w:bottom w:val="single" w:sz="4" w:space="0" w:color="auto"/>
              <w:right w:val="single" w:sz="4" w:space="0" w:color="auto"/>
            </w:tcBorders>
            <w:shd w:val="clear" w:color="auto" w:fill="auto"/>
            <w:vAlign w:val="center"/>
            <w:hideMark/>
          </w:tcPr>
          <w:p w14:paraId="4CA073FE"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28EC2C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4E0E902" w14:textId="77777777" w:rsidTr="00040726">
        <w:trPr>
          <w:trHeight w:val="71"/>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F2CA3D7"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60a</w:t>
            </w:r>
          </w:p>
        </w:tc>
        <w:tc>
          <w:tcPr>
            <w:tcW w:w="4860" w:type="dxa"/>
            <w:tcBorders>
              <w:top w:val="nil"/>
              <w:left w:val="nil"/>
              <w:bottom w:val="single" w:sz="4" w:space="0" w:color="auto"/>
              <w:right w:val="single" w:sz="4" w:space="0" w:color="auto"/>
            </w:tcBorders>
            <w:shd w:val="clear" w:color="auto" w:fill="auto"/>
            <w:vAlign w:val="center"/>
            <w:hideMark/>
          </w:tcPr>
          <w:p w14:paraId="7E96491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total credit risk weighted assets</w:t>
            </w:r>
          </w:p>
        </w:tc>
        <w:tc>
          <w:tcPr>
            <w:tcW w:w="1350" w:type="dxa"/>
            <w:tcBorders>
              <w:top w:val="nil"/>
              <w:left w:val="nil"/>
              <w:bottom w:val="single" w:sz="4" w:space="0" w:color="auto"/>
              <w:right w:val="single" w:sz="4" w:space="0" w:color="auto"/>
            </w:tcBorders>
            <w:shd w:val="clear" w:color="auto" w:fill="auto"/>
            <w:vAlign w:val="center"/>
            <w:hideMark/>
          </w:tcPr>
          <w:p w14:paraId="667EFD53" w14:textId="77777777" w:rsidR="004C1CA7" w:rsidRPr="00857E99" w:rsidRDefault="004C1CA7" w:rsidP="00040726">
            <w:pPr>
              <w:overflowPunct/>
              <w:autoSpaceDE/>
              <w:autoSpaceDN/>
              <w:adjustRightInd/>
              <w:textAlignment w:val="auto"/>
              <w:rPr>
                <w:color w:val="000000"/>
                <w:sz w:val="24"/>
                <w:szCs w:val="24"/>
                <w:lang w:val="en-CA" w:eastAsia="en-CA"/>
              </w:rPr>
            </w:pPr>
            <w:r>
              <w:rPr>
                <w:color w:val="000000"/>
                <w:sz w:val="24"/>
                <w:szCs w:val="24"/>
                <w:lang w:val="en-CA" w:eastAsia="en-CA"/>
              </w:rPr>
              <w:t>31,296,276</w:t>
            </w:r>
          </w:p>
        </w:tc>
        <w:tc>
          <w:tcPr>
            <w:tcW w:w="1350" w:type="dxa"/>
            <w:tcBorders>
              <w:top w:val="nil"/>
              <w:left w:val="nil"/>
              <w:bottom w:val="single" w:sz="4" w:space="0" w:color="auto"/>
              <w:right w:val="single" w:sz="4" w:space="0" w:color="auto"/>
            </w:tcBorders>
            <w:shd w:val="clear" w:color="auto" w:fill="auto"/>
            <w:vAlign w:val="center"/>
            <w:hideMark/>
          </w:tcPr>
          <w:p w14:paraId="30C950AA"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362858B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B9E7DFB" w14:textId="77777777" w:rsidTr="00040726">
        <w:trPr>
          <w:trHeight w:val="323"/>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357BADC"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60b</w:t>
            </w:r>
          </w:p>
        </w:tc>
        <w:tc>
          <w:tcPr>
            <w:tcW w:w="4860" w:type="dxa"/>
            <w:tcBorders>
              <w:top w:val="nil"/>
              <w:left w:val="nil"/>
              <w:bottom w:val="single" w:sz="4" w:space="0" w:color="auto"/>
              <w:right w:val="single" w:sz="4" w:space="0" w:color="auto"/>
            </w:tcBorders>
            <w:shd w:val="clear" w:color="auto" w:fill="auto"/>
            <w:vAlign w:val="center"/>
            <w:hideMark/>
          </w:tcPr>
          <w:p w14:paraId="57A8483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total market risk weighted assets</w:t>
            </w:r>
          </w:p>
        </w:tc>
        <w:tc>
          <w:tcPr>
            <w:tcW w:w="1350" w:type="dxa"/>
            <w:tcBorders>
              <w:top w:val="nil"/>
              <w:left w:val="nil"/>
              <w:bottom w:val="single" w:sz="4" w:space="0" w:color="auto"/>
              <w:right w:val="single" w:sz="4" w:space="0" w:color="auto"/>
            </w:tcBorders>
            <w:shd w:val="clear" w:color="auto" w:fill="auto"/>
            <w:vAlign w:val="center"/>
            <w:hideMark/>
          </w:tcPr>
          <w:p w14:paraId="6DE6311A" w14:textId="77777777" w:rsidR="004C1CA7" w:rsidRPr="00857E99" w:rsidRDefault="004C1CA7" w:rsidP="00040726">
            <w:pPr>
              <w:overflowPunct/>
              <w:autoSpaceDE/>
              <w:autoSpaceDN/>
              <w:adjustRightInd/>
              <w:textAlignment w:val="auto"/>
              <w:rPr>
                <w:color w:val="000000"/>
                <w:sz w:val="24"/>
                <w:szCs w:val="24"/>
                <w:lang w:val="en-CA" w:eastAsia="en-CA"/>
              </w:rPr>
            </w:pPr>
            <w:r w:rsidRPr="00857E99">
              <w:rPr>
                <w:color w:val="000000"/>
                <w:sz w:val="24"/>
                <w:szCs w:val="24"/>
                <w:lang w:val="en-CA" w:eastAsia="en-CA"/>
              </w:rPr>
              <w:t xml:space="preserve">  </w:t>
            </w:r>
            <w:r>
              <w:rPr>
                <w:color w:val="000000"/>
                <w:sz w:val="24"/>
                <w:szCs w:val="24"/>
                <w:lang w:val="en-CA" w:eastAsia="en-CA"/>
              </w:rPr>
              <w:t>2,563,720</w:t>
            </w:r>
          </w:p>
        </w:tc>
        <w:tc>
          <w:tcPr>
            <w:tcW w:w="1350" w:type="dxa"/>
            <w:tcBorders>
              <w:top w:val="nil"/>
              <w:left w:val="nil"/>
              <w:bottom w:val="single" w:sz="4" w:space="0" w:color="auto"/>
              <w:right w:val="single" w:sz="4" w:space="0" w:color="auto"/>
            </w:tcBorders>
            <w:shd w:val="clear" w:color="auto" w:fill="auto"/>
            <w:vAlign w:val="center"/>
            <w:hideMark/>
          </w:tcPr>
          <w:p w14:paraId="32F6A03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3A6D3BD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96E097B" w14:textId="77777777" w:rsidTr="00040726">
        <w:trPr>
          <w:trHeight w:val="359"/>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A53C0DA"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60c</w:t>
            </w:r>
          </w:p>
        </w:tc>
        <w:tc>
          <w:tcPr>
            <w:tcW w:w="4860" w:type="dxa"/>
            <w:tcBorders>
              <w:top w:val="nil"/>
              <w:left w:val="nil"/>
              <w:bottom w:val="single" w:sz="4" w:space="0" w:color="auto"/>
              <w:right w:val="single" w:sz="4" w:space="0" w:color="auto"/>
            </w:tcBorders>
            <w:shd w:val="clear" w:color="auto" w:fill="auto"/>
            <w:vAlign w:val="center"/>
            <w:hideMark/>
          </w:tcPr>
          <w:p w14:paraId="5A1A4DA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total operational risk weighted assets</w:t>
            </w:r>
          </w:p>
        </w:tc>
        <w:tc>
          <w:tcPr>
            <w:tcW w:w="1350" w:type="dxa"/>
            <w:tcBorders>
              <w:top w:val="nil"/>
              <w:left w:val="nil"/>
              <w:bottom w:val="single" w:sz="4" w:space="0" w:color="auto"/>
              <w:right w:val="single" w:sz="4" w:space="0" w:color="auto"/>
            </w:tcBorders>
            <w:shd w:val="clear" w:color="auto" w:fill="auto"/>
            <w:vAlign w:val="center"/>
            <w:hideMark/>
          </w:tcPr>
          <w:p w14:paraId="3E21CD12" w14:textId="77777777" w:rsidR="004C1CA7" w:rsidRPr="00857E99" w:rsidRDefault="004C1CA7" w:rsidP="00040726">
            <w:pPr>
              <w:overflowPunct/>
              <w:autoSpaceDE/>
              <w:autoSpaceDN/>
              <w:adjustRightInd/>
              <w:textAlignment w:val="auto"/>
              <w:rPr>
                <w:color w:val="000000"/>
                <w:sz w:val="24"/>
                <w:szCs w:val="24"/>
                <w:lang w:val="en-CA" w:eastAsia="en-CA"/>
              </w:rPr>
            </w:pPr>
            <w:r w:rsidRPr="00857E99">
              <w:rPr>
                <w:color w:val="000000"/>
                <w:sz w:val="24"/>
                <w:szCs w:val="24"/>
                <w:lang w:val="en-CA" w:eastAsia="en-CA"/>
              </w:rPr>
              <w:t xml:space="preserve">  </w:t>
            </w:r>
            <w:r>
              <w:rPr>
                <w:color w:val="000000"/>
                <w:sz w:val="24"/>
                <w:szCs w:val="24"/>
                <w:lang w:val="en-CA" w:eastAsia="en-CA"/>
              </w:rPr>
              <w:t>3,524,300</w:t>
            </w:r>
          </w:p>
        </w:tc>
        <w:tc>
          <w:tcPr>
            <w:tcW w:w="1350" w:type="dxa"/>
            <w:tcBorders>
              <w:top w:val="nil"/>
              <w:left w:val="nil"/>
              <w:bottom w:val="single" w:sz="4" w:space="0" w:color="auto"/>
              <w:right w:val="single" w:sz="4" w:space="0" w:color="auto"/>
            </w:tcBorders>
            <w:shd w:val="clear" w:color="auto" w:fill="auto"/>
            <w:vAlign w:val="center"/>
            <w:hideMark/>
          </w:tcPr>
          <w:p w14:paraId="31C4F75E"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6C52A41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244A23D" w14:textId="77777777" w:rsidTr="00040726">
        <w:trPr>
          <w:trHeight w:val="315"/>
        </w:trPr>
        <w:tc>
          <w:tcPr>
            <w:tcW w:w="68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6E88BA"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Capital ratios</w:t>
            </w:r>
          </w:p>
        </w:tc>
        <w:tc>
          <w:tcPr>
            <w:tcW w:w="1350" w:type="dxa"/>
            <w:tcBorders>
              <w:top w:val="nil"/>
              <w:left w:val="nil"/>
              <w:bottom w:val="single" w:sz="4" w:space="0" w:color="auto"/>
              <w:right w:val="single" w:sz="4" w:space="0" w:color="auto"/>
            </w:tcBorders>
            <w:shd w:val="clear" w:color="auto" w:fill="auto"/>
            <w:vAlign w:val="center"/>
            <w:hideMark/>
          </w:tcPr>
          <w:p w14:paraId="248027A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1435" w:type="dxa"/>
            <w:tcBorders>
              <w:top w:val="nil"/>
              <w:left w:val="nil"/>
              <w:bottom w:val="single" w:sz="4" w:space="0" w:color="auto"/>
              <w:right w:val="single" w:sz="4" w:space="0" w:color="auto"/>
            </w:tcBorders>
            <w:shd w:val="clear" w:color="auto" w:fill="auto"/>
            <w:vAlign w:val="center"/>
            <w:hideMark/>
          </w:tcPr>
          <w:p w14:paraId="637D201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96FE0AE" w14:textId="77777777" w:rsidTr="00040726">
        <w:trPr>
          <w:trHeight w:val="38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E10EB7B"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lastRenderedPageBreak/>
              <w:t>61</w:t>
            </w:r>
          </w:p>
        </w:tc>
        <w:tc>
          <w:tcPr>
            <w:tcW w:w="4860" w:type="dxa"/>
            <w:tcBorders>
              <w:top w:val="nil"/>
              <w:left w:val="nil"/>
              <w:bottom w:val="single" w:sz="4" w:space="0" w:color="auto"/>
              <w:right w:val="single" w:sz="4" w:space="0" w:color="auto"/>
            </w:tcBorders>
            <w:shd w:val="clear" w:color="auto" w:fill="auto"/>
            <w:vAlign w:val="center"/>
            <w:hideMark/>
          </w:tcPr>
          <w:p w14:paraId="5A26A80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Common Equity Tier 1 (as a percentage of risk weighted assets)</w:t>
            </w:r>
          </w:p>
        </w:tc>
        <w:tc>
          <w:tcPr>
            <w:tcW w:w="1350" w:type="dxa"/>
            <w:tcBorders>
              <w:top w:val="nil"/>
              <w:left w:val="nil"/>
              <w:bottom w:val="single" w:sz="4" w:space="0" w:color="auto"/>
              <w:right w:val="single" w:sz="4" w:space="0" w:color="auto"/>
            </w:tcBorders>
            <w:shd w:val="clear" w:color="auto" w:fill="auto"/>
            <w:vAlign w:val="center"/>
            <w:hideMark/>
          </w:tcPr>
          <w:p w14:paraId="1809B073"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45.77</w:t>
            </w:r>
            <w:r w:rsidRPr="001D70E9">
              <w:rPr>
                <w:color w:val="000000"/>
                <w:sz w:val="24"/>
                <w:szCs w:val="24"/>
                <w:lang w:val="en-CA" w:eastAsia="en-CA"/>
              </w:rPr>
              <w:t>%</w:t>
            </w:r>
          </w:p>
        </w:tc>
        <w:tc>
          <w:tcPr>
            <w:tcW w:w="1350" w:type="dxa"/>
            <w:tcBorders>
              <w:top w:val="nil"/>
              <w:left w:val="nil"/>
              <w:bottom w:val="single" w:sz="4" w:space="0" w:color="auto"/>
              <w:right w:val="single" w:sz="4" w:space="0" w:color="auto"/>
            </w:tcBorders>
            <w:shd w:val="clear" w:color="auto" w:fill="auto"/>
            <w:vAlign w:val="center"/>
            <w:hideMark/>
          </w:tcPr>
          <w:p w14:paraId="46C2E852"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3E5762A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B7F6195" w14:textId="77777777" w:rsidTr="00040726">
        <w:trPr>
          <w:trHeight w:val="179"/>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140B4868"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62</w:t>
            </w:r>
          </w:p>
        </w:tc>
        <w:tc>
          <w:tcPr>
            <w:tcW w:w="4860" w:type="dxa"/>
            <w:tcBorders>
              <w:top w:val="nil"/>
              <w:left w:val="nil"/>
              <w:bottom w:val="single" w:sz="4" w:space="0" w:color="auto"/>
              <w:right w:val="single" w:sz="4" w:space="0" w:color="auto"/>
            </w:tcBorders>
            <w:shd w:val="clear" w:color="auto" w:fill="auto"/>
            <w:vAlign w:val="center"/>
            <w:hideMark/>
          </w:tcPr>
          <w:p w14:paraId="0FE5856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Tier 1 (as a percentage of risk weighted assets)</w:t>
            </w:r>
          </w:p>
        </w:tc>
        <w:tc>
          <w:tcPr>
            <w:tcW w:w="1350" w:type="dxa"/>
            <w:tcBorders>
              <w:top w:val="nil"/>
              <w:left w:val="nil"/>
              <w:bottom w:val="single" w:sz="4" w:space="0" w:color="auto"/>
              <w:right w:val="single" w:sz="4" w:space="0" w:color="auto"/>
            </w:tcBorders>
            <w:shd w:val="clear" w:color="auto" w:fill="auto"/>
            <w:vAlign w:val="center"/>
            <w:hideMark/>
          </w:tcPr>
          <w:p w14:paraId="733BFFD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45.77</w:t>
            </w:r>
            <w:r w:rsidRPr="001D70E9">
              <w:rPr>
                <w:color w:val="000000"/>
                <w:sz w:val="24"/>
                <w:szCs w:val="24"/>
                <w:lang w:val="en-CA" w:eastAsia="en-CA"/>
              </w:rPr>
              <w:t>%</w:t>
            </w:r>
          </w:p>
        </w:tc>
        <w:tc>
          <w:tcPr>
            <w:tcW w:w="1350" w:type="dxa"/>
            <w:tcBorders>
              <w:top w:val="nil"/>
              <w:left w:val="nil"/>
              <w:bottom w:val="single" w:sz="4" w:space="0" w:color="auto"/>
              <w:right w:val="single" w:sz="4" w:space="0" w:color="auto"/>
            </w:tcBorders>
            <w:shd w:val="clear" w:color="auto" w:fill="auto"/>
            <w:vAlign w:val="center"/>
            <w:hideMark/>
          </w:tcPr>
          <w:p w14:paraId="5FD3784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EBA489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ECAAF4C" w14:textId="77777777" w:rsidTr="00040726">
        <w:trPr>
          <w:trHeight w:val="341"/>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0CF68B8"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63</w:t>
            </w:r>
          </w:p>
        </w:tc>
        <w:tc>
          <w:tcPr>
            <w:tcW w:w="4860" w:type="dxa"/>
            <w:tcBorders>
              <w:top w:val="nil"/>
              <w:left w:val="nil"/>
              <w:bottom w:val="single" w:sz="4" w:space="0" w:color="auto"/>
              <w:right w:val="single" w:sz="4" w:space="0" w:color="auto"/>
            </w:tcBorders>
            <w:shd w:val="clear" w:color="auto" w:fill="auto"/>
            <w:vAlign w:val="center"/>
            <w:hideMark/>
          </w:tcPr>
          <w:p w14:paraId="6FF141A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Total capital (as a percentage of risk weighted assets)</w:t>
            </w:r>
          </w:p>
        </w:tc>
        <w:tc>
          <w:tcPr>
            <w:tcW w:w="1350" w:type="dxa"/>
            <w:tcBorders>
              <w:top w:val="nil"/>
              <w:left w:val="nil"/>
              <w:bottom w:val="single" w:sz="4" w:space="0" w:color="auto"/>
              <w:right w:val="single" w:sz="4" w:space="0" w:color="auto"/>
            </w:tcBorders>
            <w:shd w:val="clear" w:color="auto" w:fill="auto"/>
            <w:vAlign w:val="center"/>
            <w:hideMark/>
          </w:tcPr>
          <w:p w14:paraId="157038E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48.19</w:t>
            </w:r>
            <w:r w:rsidRPr="001D70E9">
              <w:rPr>
                <w:color w:val="000000"/>
                <w:sz w:val="24"/>
                <w:szCs w:val="24"/>
                <w:lang w:val="en-CA" w:eastAsia="en-CA"/>
              </w:rPr>
              <w:t>%</w:t>
            </w:r>
          </w:p>
        </w:tc>
        <w:tc>
          <w:tcPr>
            <w:tcW w:w="1350" w:type="dxa"/>
            <w:tcBorders>
              <w:top w:val="nil"/>
              <w:left w:val="nil"/>
              <w:bottom w:val="single" w:sz="4" w:space="0" w:color="auto"/>
              <w:right w:val="single" w:sz="4" w:space="0" w:color="auto"/>
            </w:tcBorders>
            <w:shd w:val="clear" w:color="auto" w:fill="auto"/>
            <w:vAlign w:val="center"/>
            <w:hideMark/>
          </w:tcPr>
          <w:p w14:paraId="0D42AC7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51DE0DF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28C0F7A" w14:textId="77777777" w:rsidTr="00040726">
        <w:trPr>
          <w:trHeight w:val="5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0B3C608"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64</w:t>
            </w:r>
          </w:p>
        </w:tc>
        <w:tc>
          <w:tcPr>
            <w:tcW w:w="4860" w:type="dxa"/>
            <w:tcBorders>
              <w:top w:val="nil"/>
              <w:left w:val="nil"/>
              <w:bottom w:val="single" w:sz="4" w:space="0" w:color="auto"/>
              <w:right w:val="single" w:sz="4" w:space="0" w:color="auto"/>
            </w:tcBorders>
            <w:shd w:val="clear" w:color="auto" w:fill="auto"/>
            <w:vAlign w:val="center"/>
            <w:hideMark/>
          </w:tcPr>
          <w:p w14:paraId="1BC10F6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Institution specific buffer requirement (minimum CET1 requirement plus capital conservation and countercyclical buffer requirements, expressed as a percentage of risk weighted assets)</w:t>
            </w:r>
          </w:p>
        </w:tc>
        <w:tc>
          <w:tcPr>
            <w:tcW w:w="1350" w:type="dxa"/>
            <w:tcBorders>
              <w:top w:val="nil"/>
              <w:left w:val="nil"/>
              <w:bottom w:val="single" w:sz="4" w:space="0" w:color="auto"/>
              <w:right w:val="single" w:sz="4" w:space="0" w:color="auto"/>
            </w:tcBorders>
            <w:shd w:val="clear" w:color="auto" w:fill="auto"/>
            <w:vAlign w:val="center"/>
            <w:hideMark/>
          </w:tcPr>
          <w:p w14:paraId="58799F5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4CE399A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528AD14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A9165E0" w14:textId="77777777" w:rsidTr="00040726">
        <w:trPr>
          <w:trHeight w:val="51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23A7E02"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65</w:t>
            </w:r>
          </w:p>
        </w:tc>
        <w:tc>
          <w:tcPr>
            <w:tcW w:w="4860" w:type="dxa"/>
            <w:tcBorders>
              <w:top w:val="nil"/>
              <w:left w:val="nil"/>
              <w:bottom w:val="single" w:sz="4" w:space="0" w:color="auto"/>
              <w:right w:val="single" w:sz="4" w:space="0" w:color="auto"/>
            </w:tcBorders>
            <w:shd w:val="clear" w:color="auto" w:fill="auto"/>
            <w:vAlign w:val="center"/>
            <w:hideMark/>
          </w:tcPr>
          <w:p w14:paraId="5900DF8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capital conservation buffer requirement</w:t>
            </w:r>
          </w:p>
        </w:tc>
        <w:tc>
          <w:tcPr>
            <w:tcW w:w="1350" w:type="dxa"/>
            <w:tcBorders>
              <w:top w:val="nil"/>
              <w:left w:val="nil"/>
              <w:bottom w:val="single" w:sz="4" w:space="0" w:color="auto"/>
              <w:right w:val="single" w:sz="4" w:space="0" w:color="auto"/>
            </w:tcBorders>
            <w:shd w:val="clear" w:color="auto" w:fill="auto"/>
            <w:vAlign w:val="center"/>
            <w:hideMark/>
          </w:tcPr>
          <w:p w14:paraId="118C1EDA"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47885EB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55A79F2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6C65630" w14:textId="77777777" w:rsidTr="00040726">
        <w:trPr>
          <w:trHeight w:val="31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6FDF985"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66</w:t>
            </w:r>
          </w:p>
        </w:tc>
        <w:tc>
          <w:tcPr>
            <w:tcW w:w="4860" w:type="dxa"/>
            <w:tcBorders>
              <w:top w:val="nil"/>
              <w:left w:val="nil"/>
              <w:bottom w:val="single" w:sz="4" w:space="0" w:color="auto"/>
              <w:right w:val="single" w:sz="4" w:space="0" w:color="auto"/>
            </w:tcBorders>
            <w:shd w:val="clear" w:color="auto" w:fill="auto"/>
            <w:vAlign w:val="center"/>
            <w:hideMark/>
          </w:tcPr>
          <w:p w14:paraId="685A578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bank specific countercyclical buffer requirement</w:t>
            </w:r>
          </w:p>
        </w:tc>
        <w:tc>
          <w:tcPr>
            <w:tcW w:w="1350" w:type="dxa"/>
            <w:tcBorders>
              <w:top w:val="nil"/>
              <w:left w:val="nil"/>
              <w:bottom w:val="single" w:sz="4" w:space="0" w:color="auto"/>
              <w:right w:val="single" w:sz="4" w:space="0" w:color="auto"/>
            </w:tcBorders>
            <w:shd w:val="clear" w:color="auto" w:fill="auto"/>
            <w:vAlign w:val="center"/>
            <w:hideMark/>
          </w:tcPr>
          <w:p w14:paraId="6CDCCBAE"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6D7EB2C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309DF4D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CF3CFDA" w14:textId="77777777" w:rsidTr="00040726">
        <w:trPr>
          <w:trHeight w:val="6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1E53BDD"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67</w:t>
            </w:r>
          </w:p>
        </w:tc>
        <w:tc>
          <w:tcPr>
            <w:tcW w:w="4860" w:type="dxa"/>
            <w:tcBorders>
              <w:top w:val="nil"/>
              <w:left w:val="nil"/>
              <w:bottom w:val="single" w:sz="4" w:space="0" w:color="auto"/>
              <w:right w:val="single" w:sz="4" w:space="0" w:color="auto"/>
            </w:tcBorders>
            <w:shd w:val="clear" w:color="auto" w:fill="auto"/>
            <w:vAlign w:val="center"/>
            <w:hideMark/>
          </w:tcPr>
          <w:p w14:paraId="0236719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G-SIB buffer requirement</w:t>
            </w:r>
          </w:p>
        </w:tc>
        <w:tc>
          <w:tcPr>
            <w:tcW w:w="1350" w:type="dxa"/>
            <w:tcBorders>
              <w:top w:val="nil"/>
              <w:left w:val="nil"/>
              <w:bottom w:val="single" w:sz="4" w:space="0" w:color="auto"/>
              <w:right w:val="single" w:sz="4" w:space="0" w:color="auto"/>
            </w:tcBorders>
            <w:shd w:val="clear" w:color="auto" w:fill="auto"/>
            <w:vAlign w:val="center"/>
            <w:hideMark/>
          </w:tcPr>
          <w:p w14:paraId="7DB17643"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1C12ED9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1D309C9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D4453FB" w14:textId="77777777" w:rsidTr="00040726">
        <w:trPr>
          <w:trHeight w:val="467"/>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079C239"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68</w:t>
            </w:r>
          </w:p>
        </w:tc>
        <w:tc>
          <w:tcPr>
            <w:tcW w:w="4860" w:type="dxa"/>
            <w:tcBorders>
              <w:top w:val="nil"/>
              <w:left w:val="nil"/>
              <w:bottom w:val="single" w:sz="4" w:space="0" w:color="auto"/>
              <w:right w:val="single" w:sz="4" w:space="0" w:color="auto"/>
            </w:tcBorders>
            <w:shd w:val="clear" w:color="auto" w:fill="auto"/>
            <w:vAlign w:val="center"/>
            <w:hideMark/>
          </w:tcPr>
          <w:p w14:paraId="3A1CF16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Common Equity Tier 1 available to meet buffers (as a percentage of risk weighted assets)</w:t>
            </w:r>
          </w:p>
        </w:tc>
        <w:tc>
          <w:tcPr>
            <w:tcW w:w="1350" w:type="dxa"/>
            <w:tcBorders>
              <w:top w:val="nil"/>
              <w:left w:val="nil"/>
              <w:bottom w:val="single" w:sz="4" w:space="0" w:color="auto"/>
              <w:right w:val="single" w:sz="4" w:space="0" w:color="auto"/>
            </w:tcBorders>
            <w:shd w:val="clear" w:color="auto" w:fill="auto"/>
            <w:vAlign w:val="center"/>
            <w:hideMark/>
          </w:tcPr>
          <w:p w14:paraId="0366D1F2"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1A90E13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31DE76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0A6C32E" w14:textId="77777777" w:rsidTr="00040726">
        <w:trPr>
          <w:trHeight w:val="161"/>
        </w:trPr>
        <w:tc>
          <w:tcPr>
            <w:tcW w:w="68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56A909"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National minima (if different from Basel III)</w:t>
            </w:r>
          </w:p>
        </w:tc>
        <w:tc>
          <w:tcPr>
            <w:tcW w:w="1350" w:type="dxa"/>
            <w:tcBorders>
              <w:top w:val="nil"/>
              <w:left w:val="nil"/>
              <w:bottom w:val="single" w:sz="4" w:space="0" w:color="auto"/>
              <w:right w:val="single" w:sz="4" w:space="0" w:color="auto"/>
            </w:tcBorders>
            <w:shd w:val="clear" w:color="auto" w:fill="auto"/>
            <w:vAlign w:val="center"/>
            <w:hideMark/>
          </w:tcPr>
          <w:p w14:paraId="249FAAFE"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1435" w:type="dxa"/>
            <w:tcBorders>
              <w:top w:val="nil"/>
              <w:left w:val="nil"/>
              <w:bottom w:val="single" w:sz="4" w:space="0" w:color="auto"/>
              <w:right w:val="single" w:sz="4" w:space="0" w:color="auto"/>
            </w:tcBorders>
            <w:shd w:val="clear" w:color="auto" w:fill="auto"/>
            <w:vAlign w:val="center"/>
            <w:hideMark/>
          </w:tcPr>
          <w:p w14:paraId="1C6F9B5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AAAA5F9" w14:textId="77777777" w:rsidTr="00040726">
        <w:trPr>
          <w:trHeight w:val="42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189A7123"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69</w:t>
            </w:r>
          </w:p>
        </w:tc>
        <w:tc>
          <w:tcPr>
            <w:tcW w:w="4860" w:type="dxa"/>
            <w:tcBorders>
              <w:top w:val="nil"/>
              <w:left w:val="nil"/>
              <w:bottom w:val="single" w:sz="4" w:space="0" w:color="auto"/>
              <w:right w:val="single" w:sz="4" w:space="0" w:color="auto"/>
            </w:tcBorders>
            <w:shd w:val="clear" w:color="auto" w:fill="auto"/>
            <w:vAlign w:val="center"/>
            <w:hideMark/>
          </w:tcPr>
          <w:p w14:paraId="77F312B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National Common Equity Tier 1 minimum ratio (if different from Basel III minimum)</w:t>
            </w:r>
          </w:p>
        </w:tc>
        <w:tc>
          <w:tcPr>
            <w:tcW w:w="1350" w:type="dxa"/>
            <w:tcBorders>
              <w:top w:val="nil"/>
              <w:left w:val="nil"/>
              <w:bottom w:val="single" w:sz="4" w:space="0" w:color="auto"/>
              <w:right w:val="single" w:sz="4" w:space="0" w:color="auto"/>
            </w:tcBorders>
            <w:shd w:val="clear" w:color="auto" w:fill="auto"/>
            <w:vAlign w:val="center"/>
            <w:hideMark/>
          </w:tcPr>
          <w:p w14:paraId="4323163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5.50%</w:t>
            </w:r>
          </w:p>
        </w:tc>
        <w:tc>
          <w:tcPr>
            <w:tcW w:w="1350" w:type="dxa"/>
            <w:tcBorders>
              <w:top w:val="nil"/>
              <w:left w:val="nil"/>
              <w:bottom w:val="single" w:sz="4" w:space="0" w:color="auto"/>
              <w:right w:val="single" w:sz="4" w:space="0" w:color="auto"/>
            </w:tcBorders>
            <w:shd w:val="clear" w:color="auto" w:fill="auto"/>
            <w:vAlign w:val="center"/>
            <w:hideMark/>
          </w:tcPr>
          <w:p w14:paraId="34184912"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22B8128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FD1AB36" w14:textId="77777777" w:rsidTr="00040726">
        <w:trPr>
          <w:trHeight w:val="13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FAE0365"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70</w:t>
            </w:r>
          </w:p>
        </w:tc>
        <w:tc>
          <w:tcPr>
            <w:tcW w:w="4860" w:type="dxa"/>
            <w:tcBorders>
              <w:top w:val="nil"/>
              <w:left w:val="nil"/>
              <w:bottom w:val="single" w:sz="4" w:space="0" w:color="auto"/>
              <w:right w:val="single" w:sz="4" w:space="0" w:color="auto"/>
            </w:tcBorders>
            <w:shd w:val="clear" w:color="auto" w:fill="auto"/>
            <w:vAlign w:val="center"/>
            <w:hideMark/>
          </w:tcPr>
          <w:p w14:paraId="61C50D8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National Tier 1 minimum ratio (if different from Basel III minimum)</w:t>
            </w:r>
          </w:p>
        </w:tc>
        <w:tc>
          <w:tcPr>
            <w:tcW w:w="1350" w:type="dxa"/>
            <w:tcBorders>
              <w:top w:val="nil"/>
              <w:left w:val="nil"/>
              <w:bottom w:val="single" w:sz="4" w:space="0" w:color="auto"/>
              <w:right w:val="single" w:sz="4" w:space="0" w:color="auto"/>
            </w:tcBorders>
            <w:shd w:val="clear" w:color="auto" w:fill="auto"/>
            <w:vAlign w:val="center"/>
            <w:hideMark/>
          </w:tcPr>
          <w:p w14:paraId="5FA5246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7.00%</w:t>
            </w:r>
          </w:p>
        </w:tc>
        <w:tc>
          <w:tcPr>
            <w:tcW w:w="1350" w:type="dxa"/>
            <w:tcBorders>
              <w:top w:val="nil"/>
              <w:left w:val="nil"/>
              <w:bottom w:val="single" w:sz="4" w:space="0" w:color="auto"/>
              <w:right w:val="single" w:sz="4" w:space="0" w:color="auto"/>
            </w:tcBorders>
            <w:shd w:val="clear" w:color="auto" w:fill="auto"/>
            <w:vAlign w:val="center"/>
            <w:hideMark/>
          </w:tcPr>
          <w:p w14:paraId="5D73336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2787CD0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8B69521" w14:textId="77777777" w:rsidTr="00040726">
        <w:trPr>
          <w:trHeight w:val="368"/>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9A20165"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71</w:t>
            </w:r>
          </w:p>
        </w:tc>
        <w:tc>
          <w:tcPr>
            <w:tcW w:w="4860" w:type="dxa"/>
            <w:tcBorders>
              <w:top w:val="nil"/>
              <w:left w:val="nil"/>
              <w:bottom w:val="single" w:sz="4" w:space="0" w:color="auto"/>
              <w:right w:val="single" w:sz="4" w:space="0" w:color="auto"/>
            </w:tcBorders>
            <w:shd w:val="clear" w:color="auto" w:fill="auto"/>
            <w:vAlign w:val="center"/>
            <w:hideMark/>
          </w:tcPr>
          <w:p w14:paraId="671C642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National total capital minimum ratio (if different from Basel III minimum)</w:t>
            </w:r>
          </w:p>
        </w:tc>
        <w:tc>
          <w:tcPr>
            <w:tcW w:w="1350" w:type="dxa"/>
            <w:tcBorders>
              <w:top w:val="nil"/>
              <w:left w:val="nil"/>
              <w:bottom w:val="single" w:sz="4" w:space="0" w:color="auto"/>
              <w:right w:val="single" w:sz="4" w:space="0" w:color="auto"/>
            </w:tcBorders>
            <w:shd w:val="clear" w:color="auto" w:fill="auto"/>
            <w:vAlign w:val="center"/>
            <w:hideMark/>
          </w:tcPr>
          <w:p w14:paraId="473BB5B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9.00%</w:t>
            </w:r>
          </w:p>
        </w:tc>
        <w:tc>
          <w:tcPr>
            <w:tcW w:w="1350" w:type="dxa"/>
            <w:tcBorders>
              <w:top w:val="nil"/>
              <w:left w:val="nil"/>
              <w:bottom w:val="single" w:sz="4" w:space="0" w:color="auto"/>
              <w:right w:val="single" w:sz="4" w:space="0" w:color="auto"/>
            </w:tcBorders>
            <w:shd w:val="clear" w:color="auto" w:fill="auto"/>
            <w:vAlign w:val="center"/>
            <w:hideMark/>
          </w:tcPr>
          <w:p w14:paraId="58B6FD2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7F19B80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1859A86" w14:textId="77777777" w:rsidTr="00040726">
        <w:trPr>
          <w:trHeight w:val="350"/>
        </w:trPr>
        <w:tc>
          <w:tcPr>
            <w:tcW w:w="68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83D4B4"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Amounts below the thresholds for deduction (before risk weighting)</w:t>
            </w:r>
          </w:p>
        </w:tc>
        <w:tc>
          <w:tcPr>
            <w:tcW w:w="1350" w:type="dxa"/>
            <w:tcBorders>
              <w:top w:val="nil"/>
              <w:left w:val="nil"/>
              <w:bottom w:val="single" w:sz="4" w:space="0" w:color="auto"/>
              <w:right w:val="single" w:sz="4" w:space="0" w:color="auto"/>
            </w:tcBorders>
            <w:shd w:val="clear" w:color="auto" w:fill="auto"/>
            <w:vAlign w:val="center"/>
            <w:hideMark/>
          </w:tcPr>
          <w:p w14:paraId="6F83BC54"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1435" w:type="dxa"/>
            <w:tcBorders>
              <w:top w:val="nil"/>
              <w:left w:val="nil"/>
              <w:bottom w:val="single" w:sz="4" w:space="0" w:color="auto"/>
              <w:right w:val="single" w:sz="4" w:space="0" w:color="auto"/>
            </w:tcBorders>
            <w:shd w:val="clear" w:color="auto" w:fill="auto"/>
            <w:vAlign w:val="center"/>
            <w:hideMark/>
          </w:tcPr>
          <w:p w14:paraId="2BDCD28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6E0676B" w14:textId="77777777" w:rsidTr="00040726">
        <w:trPr>
          <w:trHeight w:val="42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D85EED5"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72</w:t>
            </w:r>
          </w:p>
        </w:tc>
        <w:tc>
          <w:tcPr>
            <w:tcW w:w="4860" w:type="dxa"/>
            <w:tcBorders>
              <w:top w:val="nil"/>
              <w:left w:val="nil"/>
              <w:bottom w:val="single" w:sz="4" w:space="0" w:color="auto"/>
              <w:right w:val="single" w:sz="4" w:space="0" w:color="auto"/>
            </w:tcBorders>
            <w:shd w:val="clear" w:color="auto" w:fill="auto"/>
            <w:vAlign w:val="center"/>
            <w:hideMark/>
          </w:tcPr>
          <w:p w14:paraId="6628274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Non-significant investments in the capital of other financial entities</w:t>
            </w:r>
          </w:p>
        </w:tc>
        <w:tc>
          <w:tcPr>
            <w:tcW w:w="1350" w:type="dxa"/>
            <w:tcBorders>
              <w:top w:val="nil"/>
              <w:left w:val="nil"/>
              <w:bottom w:val="single" w:sz="4" w:space="0" w:color="auto"/>
              <w:right w:val="single" w:sz="4" w:space="0" w:color="auto"/>
            </w:tcBorders>
            <w:shd w:val="clear" w:color="auto" w:fill="auto"/>
            <w:vAlign w:val="center"/>
            <w:hideMark/>
          </w:tcPr>
          <w:p w14:paraId="2D78076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70C15CE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516CDC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F68C17B" w14:textId="77777777" w:rsidTr="00040726">
        <w:trPr>
          <w:trHeight w:val="6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9EC227A"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73</w:t>
            </w:r>
          </w:p>
        </w:tc>
        <w:tc>
          <w:tcPr>
            <w:tcW w:w="4860" w:type="dxa"/>
            <w:tcBorders>
              <w:top w:val="nil"/>
              <w:left w:val="nil"/>
              <w:bottom w:val="single" w:sz="4" w:space="0" w:color="auto"/>
              <w:right w:val="single" w:sz="4" w:space="0" w:color="auto"/>
            </w:tcBorders>
            <w:shd w:val="clear" w:color="auto" w:fill="auto"/>
            <w:vAlign w:val="center"/>
            <w:hideMark/>
          </w:tcPr>
          <w:p w14:paraId="32F37B6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Significant investments in the common stock of financial entities</w:t>
            </w:r>
          </w:p>
        </w:tc>
        <w:tc>
          <w:tcPr>
            <w:tcW w:w="1350" w:type="dxa"/>
            <w:tcBorders>
              <w:top w:val="nil"/>
              <w:left w:val="nil"/>
              <w:bottom w:val="single" w:sz="4" w:space="0" w:color="auto"/>
              <w:right w:val="single" w:sz="4" w:space="0" w:color="auto"/>
            </w:tcBorders>
            <w:shd w:val="clear" w:color="auto" w:fill="auto"/>
            <w:vAlign w:val="center"/>
            <w:hideMark/>
          </w:tcPr>
          <w:p w14:paraId="41D243D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3A822B2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2EBE8E6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0B2A897" w14:textId="77777777" w:rsidTr="00040726">
        <w:trPr>
          <w:trHeight w:val="6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0D365E6"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74</w:t>
            </w:r>
          </w:p>
        </w:tc>
        <w:tc>
          <w:tcPr>
            <w:tcW w:w="4860" w:type="dxa"/>
            <w:tcBorders>
              <w:top w:val="nil"/>
              <w:left w:val="nil"/>
              <w:bottom w:val="single" w:sz="4" w:space="0" w:color="auto"/>
              <w:right w:val="single" w:sz="4" w:space="0" w:color="auto"/>
            </w:tcBorders>
            <w:shd w:val="clear" w:color="auto" w:fill="auto"/>
            <w:vAlign w:val="center"/>
            <w:hideMark/>
          </w:tcPr>
          <w:p w14:paraId="58F8F6B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Mortgage servicing rights (net of related tax liability)</w:t>
            </w:r>
          </w:p>
        </w:tc>
        <w:tc>
          <w:tcPr>
            <w:tcW w:w="1350" w:type="dxa"/>
            <w:tcBorders>
              <w:top w:val="nil"/>
              <w:left w:val="nil"/>
              <w:bottom w:val="single" w:sz="4" w:space="0" w:color="auto"/>
              <w:right w:val="single" w:sz="4" w:space="0" w:color="auto"/>
            </w:tcBorders>
            <w:shd w:val="clear" w:color="auto" w:fill="auto"/>
            <w:vAlign w:val="center"/>
            <w:hideMark/>
          </w:tcPr>
          <w:p w14:paraId="621D428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178E783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FA74FF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3B8E84D" w14:textId="77777777" w:rsidTr="00040726">
        <w:trPr>
          <w:trHeight w:val="287"/>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0FA931B"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75</w:t>
            </w:r>
          </w:p>
        </w:tc>
        <w:tc>
          <w:tcPr>
            <w:tcW w:w="4860" w:type="dxa"/>
            <w:tcBorders>
              <w:top w:val="nil"/>
              <w:left w:val="nil"/>
              <w:bottom w:val="single" w:sz="4" w:space="0" w:color="auto"/>
              <w:right w:val="single" w:sz="4" w:space="0" w:color="auto"/>
            </w:tcBorders>
            <w:shd w:val="clear" w:color="auto" w:fill="auto"/>
            <w:vAlign w:val="center"/>
            <w:hideMark/>
          </w:tcPr>
          <w:p w14:paraId="67EA3C0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Deferred tax assets arising from temporary differences (net of related tax liability)</w:t>
            </w:r>
          </w:p>
        </w:tc>
        <w:tc>
          <w:tcPr>
            <w:tcW w:w="1350" w:type="dxa"/>
            <w:tcBorders>
              <w:top w:val="nil"/>
              <w:left w:val="nil"/>
              <w:bottom w:val="single" w:sz="4" w:space="0" w:color="auto"/>
              <w:right w:val="single" w:sz="4" w:space="0" w:color="auto"/>
            </w:tcBorders>
            <w:shd w:val="clear" w:color="auto" w:fill="auto"/>
            <w:vAlign w:val="center"/>
            <w:hideMark/>
          </w:tcPr>
          <w:p w14:paraId="200D2AB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342B757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0246DDD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4EF2807" w14:textId="77777777" w:rsidTr="00040726">
        <w:trPr>
          <w:trHeight w:val="315"/>
        </w:trPr>
        <w:tc>
          <w:tcPr>
            <w:tcW w:w="68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B4CD76"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Applicable caps on the inclusion of provisions in Tier 2</w:t>
            </w:r>
          </w:p>
        </w:tc>
        <w:tc>
          <w:tcPr>
            <w:tcW w:w="1350" w:type="dxa"/>
            <w:tcBorders>
              <w:top w:val="nil"/>
              <w:left w:val="nil"/>
              <w:bottom w:val="single" w:sz="4" w:space="0" w:color="auto"/>
              <w:right w:val="single" w:sz="4" w:space="0" w:color="auto"/>
            </w:tcBorders>
            <w:shd w:val="clear" w:color="auto" w:fill="auto"/>
            <w:vAlign w:val="center"/>
            <w:hideMark/>
          </w:tcPr>
          <w:p w14:paraId="0E3AD94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1435" w:type="dxa"/>
            <w:tcBorders>
              <w:top w:val="nil"/>
              <w:left w:val="nil"/>
              <w:bottom w:val="single" w:sz="4" w:space="0" w:color="auto"/>
              <w:right w:val="single" w:sz="4" w:space="0" w:color="auto"/>
            </w:tcBorders>
            <w:shd w:val="clear" w:color="auto" w:fill="auto"/>
            <w:vAlign w:val="center"/>
            <w:hideMark/>
          </w:tcPr>
          <w:p w14:paraId="02AD144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C721AB6" w14:textId="77777777" w:rsidTr="00040726">
        <w:trPr>
          <w:trHeight w:val="395"/>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5DF7EA5"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76</w:t>
            </w:r>
          </w:p>
        </w:tc>
        <w:tc>
          <w:tcPr>
            <w:tcW w:w="4860" w:type="dxa"/>
            <w:tcBorders>
              <w:top w:val="nil"/>
              <w:left w:val="nil"/>
              <w:bottom w:val="single" w:sz="4" w:space="0" w:color="auto"/>
              <w:right w:val="single" w:sz="4" w:space="0" w:color="auto"/>
            </w:tcBorders>
            <w:shd w:val="clear" w:color="auto" w:fill="auto"/>
            <w:vAlign w:val="center"/>
            <w:hideMark/>
          </w:tcPr>
          <w:p w14:paraId="0A0A523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Provisions eligible for inclusion in Tier 2 in respect of exposures subject to standardised approach (prior to application of cap)</w:t>
            </w:r>
          </w:p>
        </w:tc>
        <w:tc>
          <w:tcPr>
            <w:tcW w:w="1350" w:type="dxa"/>
            <w:tcBorders>
              <w:top w:val="nil"/>
              <w:left w:val="nil"/>
              <w:bottom w:val="single" w:sz="4" w:space="0" w:color="auto"/>
              <w:right w:val="single" w:sz="4" w:space="0" w:color="auto"/>
            </w:tcBorders>
            <w:shd w:val="clear" w:color="auto" w:fill="auto"/>
            <w:vAlign w:val="center"/>
            <w:hideMark/>
          </w:tcPr>
          <w:p w14:paraId="4900CC64"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w:t>
            </w:r>
            <w:r>
              <w:rPr>
                <w:color w:val="000000"/>
                <w:sz w:val="24"/>
                <w:szCs w:val="24"/>
                <w:lang w:val="en-CA" w:eastAsia="en-CA"/>
              </w:rPr>
              <w:t>903,183</w:t>
            </w:r>
          </w:p>
        </w:tc>
        <w:tc>
          <w:tcPr>
            <w:tcW w:w="1350" w:type="dxa"/>
            <w:tcBorders>
              <w:top w:val="nil"/>
              <w:left w:val="nil"/>
              <w:bottom w:val="single" w:sz="4" w:space="0" w:color="auto"/>
              <w:right w:val="single" w:sz="4" w:space="0" w:color="auto"/>
            </w:tcBorders>
            <w:shd w:val="clear" w:color="auto" w:fill="auto"/>
            <w:vAlign w:val="center"/>
            <w:hideMark/>
          </w:tcPr>
          <w:p w14:paraId="3EADEBF3"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3141980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5EC65E9" w14:textId="77777777" w:rsidTr="00040726">
        <w:trPr>
          <w:trHeight w:val="278"/>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0778D9D"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77</w:t>
            </w:r>
          </w:p>
        </w:tc>
        <w:tc>
          <w:tcPr>
            <w:tcW w:w="4860" w:type="dxa"/>
            <w:tcBorders>
              <w:top w:val="nil"/>
              <w:left w:val="nil"/>
              <w:bottom w:val="single" w:sz="4" w:space="0" w:color="auto"/>
              <w:right w:val="single" w:sz="4" w:space="0" w:color="auto"/>
            </w:tcBorders>
            <w:shd w:val="clear" w:color="auto" w:fill="auto"/>
            <w:vAlign w:val="center"/>
            <w:hideMark/>
          </w:tcPr>
          <w:p w14:paraId="05807D2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Cap on inclusion of provisions in Tier 2 under standardised approach</w:t>
            </w:r>
          </w:p>
        </w:tc>
        <w:tc>
          <w:tcPr>
            <w:tcW w:w="1350" w:type="dxa"/>
            <w:tcBorders>
              <w:top w:val="single" w:sz="4" w:space="0" w:color="auto"/>
              <w:left w:val="nil"/>
              <w:bottom w:val="single" w:sz="4" w:space="0" w:color="auto"/>
              <w:right w:val="single" w:sz="4" w:space="0" w:color="auto"/>
            </w:tcBorders>
            <w:shd w:val="clear" w:color="000000" w:fill="auto"/>
            <w:vAlign w:val="center"/>
            <w:hideMark/>
          </w:tcPr>
          <w:p w14:paraId="2D4F099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w:t>
            </w:r>
            <w:r>
              <w:rPr>
                <w:color w:val="000000"/>
                <w:sz w:val="24"/>
                <w:szCs w:val="24"/>
                <w:lang w:val="en-CA" w:eastAsia="en-CA"/>
              </w:rPr>
              <w:t>903,183</w:t>
            </w:r>
          </w:p>
        </w:tc>
        <w:tc>
          <w:tcPr>
            <w:tcW w:w="1350" w:type="dxa"/>
            <w:tcBorders>
              <w:top w:val="nil"/>
              <w:left w:val="nil"/>
              <w:bottom w:val="single" w:sz="4" w:space="0" w:color="auto"/>
              <w:right w:val="single" w:sz="4" w:space="0" w:color="auto"/>
            </w:tcBorders>
            <w:shd w:val="clear" w:color="auto" w:fill="auto"/>
            <w:vAlign w:val="center"/>
            <w:hideMark/>
          </w:tcPr>
          <w:p w14:paraId="4C2F5D1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50144D7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945499E" w14:textId="77777777" w:rsidTr="00040726">
        <w:trPr>
          <w:trHeight w:val="359"/>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90E5E68"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78</w:t>
            </w:r>
          </w:p>
        </w:tc>
        <w:tc>
          <w:tcPr>
            <w:tcW w:w="4860" w:type="dxa"/>
            <w:tcBorders>
              <w:top w:val="nil"/>
              <w:left w:val="nil"/>
              <w:bottom w:val="single" w:sz="4" w:space="0" w:color="auto"/>
              <w:right w:val="single" w:sz="4" w:space="0" w:color="auto"/>
            </w:tcBorders>
            <w:shd w:val="clear" w:color="auto" w:fill="auto"/>
            <w:vAlign w:val="center"/>
            <w:hideMark/>
          </w:tcPr>
          <w:p w14:paraId="47488F8D"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Provisions eligible for inclusion in Tier 2 in respect of exposures subject to internal ratings-based approach (prior to application of cap)</w:t>
            </w:r>
          </w:p>
        </w:tc>
        <w:tc>
          <w:tcPr>
            <w:tcW w:w="1350" w:type="dxa"/>
            <w:tcBorders>
              <w:top w:val="nil"/>
              <w:left w:val="nil"/>
              <w:bottom w:val="single" w:sz="4" w:space="0" w:color="auto"/>
              <w:right w:val="single" w:sz="4" w:space="0" w:color="auto"/>
            </w:tcBorders>
            <w:shd w:val="clear" w:color="auto" w:fill="auto"/>
            <w:vAlign w:val="center"/>
            <w:hideMark/>
          </w:tcPr>
          <w:p w14:paraId="45B7F0E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N.A. </w:t>
            </w:r>
          </w:p>
        </w:tc>
        <w:tc>
          <w:tcPr>
            <w:tcW w:w="1350" w:type="dxa"/>
            <w:tcBorders>
              <w:top w:val="nil"/>
              <w:left w:val="nil"/>
              <w:bottom w:val="single" w:sz="4" w:space="0" w:color="auto"/>
              <w:right w:val="single" w:sz="4" w:space="0" w:color="auto"/>
            </w:tcBorders>
            <w:shd w:val="clear" w:color="auto" w:fill="auto"/>
            <w:vAlign w:val="center"/>
            <w:hideMark/>
          </w:tcPr>
          <w:p w14:paraId="3CA1E892"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2A63FF4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7976C8F" w14:textId="77777777" w:rsidTr="00040726">
        <w:trPr>
          <w:trHeight w:val="6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22611C8"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79</w:t>
            </w:r>
          </w:p>
        </w:tc>
        <w:tc>
          <w:tcPr>
            <w:tcW w:w="4860" w:type="dxa"/>
            <w:tcBorders>
              <w:top w:val="nil"/>
              <w:left w:val="nil"/>
              <w:bottom w:val="single" w:sz="4" w:space="0" w:color="auto"/>
              <w:right w:val="single" w:sz="4" w:space="0" w:color="auto"/>
            </w:tcBorders>
            <w:shd w:val="clear" w:color="auto" w:fill="auto"/>
            <w:vAlign w:val="center"/>
            <w:hideMark/>
          </w:tcPr>
          <w:p w14:paraId="1985084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Cap for inclusion of provisions in Tier 2 under internal ratings-based approach</w:t>
            </w:r>
          </w:p>
        </w:tc>
        <w:tc>
          <w:tcPr>
            <w:tcW w:w="1350" w:type="dxa"/>
            <w:tcBorders>
              <w:top w:val="nil"/>
              <w:left w:val="nil"/>
              <w:bottom w:val="single" w:sz="4" w:space="0" w:color="auto"/>
              <w:right w:val="single" w:sz="4" w:space="0" w:color="auto"/>
            </w:tcBorders>
            <w:shd w:val="clear" w:color="auto" w:fill="auto"/>
            <w:vAlign w:val="center"/>
            <w:hideMark/>
          </w:tcPr>
          <w:p w14:paraId="1F9ACDAE"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N.A. </w:t>
            </w:r>
          </w:p>
        </w:tc>
        <w:tc>
          <w:tcPr>
            <w:tcW w:w="1350" w:type="dxa"/>
            <w:tcBorders>
              <w:top w:val="nil"/>
              <w:left w:val="nil"/>
              <w:bottom w:val="single" w:sz="4" w:space="0" w:color="auto"/>
              <w:right w:val="single" w:sz="4" w:space="0" w:color="auto"/>
            </w:tcBorders>
            <w:shd w:val="clear" w:color="auto" w:fill="auto"/>
            <w:vAlign w:val="center"/>
            <w:hideMark/>
          </w:tcPr>
          <w:p w14:paraId="10D14FC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48EF18C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8DEA1B8" w14:textId="77777777" w:rsidTr="00040726">
        <w:trPr>
          <w:trHeight w:val="215"/>
        </w:trPr>
        <w:tc>
          <w:tcPr>
            <w:tcW w:w="68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2C55A2"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lastRenderedPageBreak/>
              <w:t xml:space="preserve">Capital instruments subject to phase-out arrangements (only applicable between </w:t>
            </w:r>
            <w:r w:rsidRPr="00977291">
              <w:rPr>
                <w:b/>
                <w:sz w:val="24"/>
                <w:szCs w:val="24"/>
              </w:rPr>
              <w:t xml:space="preserve">31 March </w:t>
            </w:r>
            <w:r>
              <w:rPr>
                <w:b/>
                <w:sz w:val="24"/>
                <w:szCs w:val="24"/>
              </w:rPr>
              <w:t>2019</w:t>
            </w:r>
            <w:r w:rsidRPr="00977291">
              <w:rPr>
                <w:b/>
                <w:bCs/>
                <w:color w:val="000000"/>
                <w:sz w:val="24"/>
                <w:szCs w:val="24"/>
                <w:lang w:val="en-CA" w:eastAsia="en-CA"/>
              </w:rPr>
              <w:t xml:space="preserve"> </w:t>
            </w:r>
            <w:r w:rsidRPr="001D70E9">
              <w:rPr>
                <w:b/>
                <w:bCs/>
                <w:color w:val="000000"/>
                <w:sz w:val="24"/>
                <w:szCs w:val="24"/>
                <w:lang w:val="en-CA" w:eastAsia="en-CA"/>
              </w:rPr>
              <w:t>and 31</w:t>
            </w:r>
            <w:r>
              <w:rPr>
                <w:b/>
                <w:bCs/>
                <w:color w:val="000000"/>
                <w:sz w:val="24"/>
                <w:szCs w:val="24"/>
                <w:lang w:val="en-CA" w:eastAsia="en-CA"/>
              </w:rPr>
              <w:t xml:space="preserve"> </w:t>
            </w:r>
            <w:proofErr w:type="gramStart"/>
            <w:r w:rsidRPr="001D70E9">
              <w:rPr>
                <w:b/>
                <w:bCs/>
                <w:color w:val="000000"/>
                <w:sz w:val="24"/>
                <w:szCs w:val="24"/>
                <w:lang w:val="en-CA" w:eastAsia="en-CA"/>
              </w:rPr>
              <w:t>March,</w:t>
            </w:r>
            <w:proofErr w:type="gramEnd"/>
            <w:r w:rsidRPr="001D70E9">
              <w:rPr>
                <w:b/>
                <w:bCs/>
                <w:color w:val="000000"/>
                <w:sz w:val="24"/>
                <w:szCs w:val="24"/>
                <w:lang w:val="en-CA" w:eastAsia="en-CA"/>
              </w:rPr>
              <w:t xml:space="preserve"> 2022)</w:t>
            </w:r>
          </w:p>
        </w:tc>
        <w:tc>
          <w:tcPr>
            <w:tcW w:w="1350" w:type="dxa"/>
            <w:tcBorders>
              <w:top w:val="nil"/>
              <w:left w:val="nil"/>
              <w:bottom w:val="single" w:sz="4" w:space="0" w:color="auto"/>
              <w:right w:val="single" w:sz="4" w:space="0" w:color="auto"/>
            </w:tcBorders>
            <w:shd w:val="clear" w:color="auto" w:fill="auto"/>
            <w:vAlign w:val="center"/>
            <w:hideMark/>
          </w:tcPr>
          <w:p w14:paraId="6ADDFDB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1435" w:type="dxa"/>
            <w:tcBorders>
              <w:top w:val="nil"/>
              <w:left w:val="nil"/>
              <w:bottom w:val="single" w:sz="4" w:space="0" w:color="auto"/>
              <w:right w:val="single" w:sz="4" w:space="0" w:color="auto"/>
            </w:tcBorders>
            <w:shd w:val="clear" w:color="auto" w:fill="auto"/>
            <w:vAlign w:val="center"/>
            <w:hideMark/>
          </w:tcPr>
          <w:p w14:paraId="615B5BD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A7C398E" w14:textId="77777777" w:rsidTr="00040726">
        <w:trPr>
          <w:trHeight w:val="107"/>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FEED12E"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80</w:t>
            </w:r>
          </w:p>
        </w:tc>
        <w:tc>
          <w:tcPr>
            <w:tcW w:w="4860" w:type="dxa"/>
            <w:tcBorders>
              <w:top w:val="nil"/>
              <w:left w:val="nil"/>
              <w:bottom w:val="single" w:sz="4" w:space="0" w:color="auto"/>
              <w:right w:val="single" w:sz="4" w:space="0" w:color="auto"/>
            </w:tcBorders>
            <w:shd w:val="clear" w:color="auto" w:fill="auto"/>
            <w:vAlign w:val="center"/>
            <w:hideMark/>
          </w:tcPr>
          <w:p w14:paraId="67DBBA8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Current cap on CET1 instruments subject to phase out arrangements</w:t>
            </w:r>
          </w:p>
        </w:tc>
        <w:tc>
          <w:tcPr>
            <w:tcW w:w="1350" w:type="dxa"/>
            <w:tcBorders>
              <w:top w:val="nil"/>
              <w:left w:val="nil"/>
              <w:bottom w:val="single" w:sz="4" w:space="0" w:color="auto"/>
              <w:right w:val="single" w:sz="4" w:space="0" w:color="auto"/>
            </w:tcBorders>
            <w:shd w:val="clear" w:color="auto" w:fill="auto"/>
            <w:vAlign w:val="center"/>
            <w:hideMark/>
          </w:tcPr>
          <w:p w14:paraId="738FF80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N.A. </w:t>
            </w:r>
          </w:p>
        </w:tc>
        <w:tc>
          <w:tcPr>
            <w:tcW w:w="1350" w:type="dxa"/>
            <w:tcBorders>
              <w:top w:val="nil"/>
              <w:left w:val="nil"/>
              <w:bottom w:val="single" w:sz="4" w:space="0" w:color="auto"/>
              <w:right w:val="single" w:sz="4" w:space="0" w:color="auto"/>
            </w:tcBorders>
            <w:shd w:val="clear" w:color="auto" w:fill="auto"/>
            <w:vAlign w:val="center"/>
            <w:hideMark/>
          </w:tcPr>
          <w:p w14:paraId="752B11B6"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105365F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68D74FA" w14:textId="77777777" w:rsidTr="00040726">
        <w:trPr>
          <w:trHeight w:val="945"/>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AB8E197"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81</w:t>
            </w:r>
          </w:p>
        </w:tc>
        <w:tc>
          <w:tcPr>
            <w:tcW w:w="4860" w:type="dxa"/>
            <w:tcBorders>
              <w:top w:val="nil"/>
              <w:left w:val="nil"/>
              <w:bottom w:val="single" w:sz="4" w:space="0" w:color="auto"/>
              <w:right w:val="single" w:sz="4" w:space="0" w:color="auto"/>
            </w:tcBorders>
            <w:shd w:val="clear" w:color="auto" w:fill="auto"/>
            <w:vAlign w:val="center"/>
            <w:hideMark/>
          </w:tcPr>
          <w:p w14:paraId="61B3320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Amount excluded from CET1 due to cap (excess over cap after redemptions and maturities)</w:t>
            </w:r>
          </w:p>
        </w:tc>
        <w:tc>
          <w:tcPr>
            <w:tcW w:w="1350" w:type="dxa"/>
            <w:tcBorders>
              <w:top w:val="nil"/>
              <w:left w:val="nil"/>
              <w:bottom w:val="single" w:sz="4" w:space="0" w:color="auto"/>
              <w:right w:val="single" w:sz="4" w:space="0" w:color="auto"/>
            </w:tcBorders>
            <w:shd w:val="clear" w:color="auto" w:fill="auto"/>
            <w:vAlign w:val="center"/>
            <w:hideMark/>
          </w:tcPr>
          <w:p w14:paraId="3292032A"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N.A. </w:t>
            </w:r>
          </w:p>
        </w:tc>
        <w:tc>
          <w:tcPr>
            <w:tcW w:w="1350" w:type="dxa"/>
            <w:tcBorders>
              <w:top w:val="nil"/>
              <w:left w:val="nil"/>
              <w:bottom w:val="single" w:sz="4" w:space="0" w:color="auto"/>
              <w:right w:val="single" w:sz="4" w:space="0" w:color="auto"/>
            </w:tcBorders>
            <w:shd w:val="clear" w:color="auto" w:fill="auto"/>
            <w:vAlign w:val="center"/>
            <w:hideMark/>
          </w:tcPr>
          <w:p w14:paraId="269041F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073E92A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CC0FC95" w14:textId="77777777" w:rsidTr="00040726">
        <w:trPr>
          <w:trHeight w:val="26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BCD5FE7"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82</w:t>
            </w:r>
          </w:p>
        </w:tc>
        <w:tc>
          <w:tcPr>
            <w:tcW w:w="4860" w:type="dxa"/>
            <w:tcBorders>
              <w:top w:val="nil"/>
              <w:left w:val="nil"/>
              <w:bottom w:val="single" w:sz="4" w:space="0" w:color="auto"/>
              <w:right w:val="single" w:sz="4" w:space="0" w:color="auto"/>
            </w:tcBorders>
            <w:shd w:val="clear" w:color="auto" w:fill="auto"/>
            <w:vAlign w:val="center"/>
            <w:hideMark/>
          </w:tcPr>
          <w:p w14:paraId="10E50CE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Current cap on AT1 instruments subject to phase out arrangements</w:t>
            </w:r>
          </w:p>
        </w:tc>
        <w:tc>
          <w:tcPr>
            <w:tcW w:w="1350" w:type="dxa"/>
            <w:tcBorders>
              <w:top w:val="nil"/>
              <w:left w:val="nil"/>
              <w:bottom w:val="single" w:sz="4" w:space="0" w:color="auto"/>
              <w:right w:val="single" w:sz="4" w:space="0" w:color="auto"/>
            </w:tcBorders>
            <w:shd w:val="clear" w:color="auto" w:fill="auto"/>
            <w:vAlign w:val="center"/>
            <w:hideMark/>
          </w:tcPr>
          <w:p w14:paraId="3E2C56E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N.A. </w:t>
            </w:r>
          </w:p>
        </w:tc>
        <w:tc>
          <w:tcPr>
            <w:tcW w:w="1350" w:type="dxa"/>
            <w:tcBorders>
              <w:top w:val="nil"/>
              <w:left w:val="nil"/>
              <w:bottom w:val="single" w:sz="4" w:space="0" w:color="auto"/>
              <w:right w:val="single" w:sz="4" w:space="0" w:color="auto"/>
            </w:tcBorders>
            <w:shd w:val="clear" w:color="auto" w:fill="auto"/>
            <w:vAlign w:val="center"/>
            <w:hideMark/>
          </w:tcPr>
          <w:p w14:paraId="460FA29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60DDEC5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82A3A5E" w14:textId="77777777" w:rsidTr="00040726">
        <w:trPr>
          <w:trHeight w:val="42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2A6A955"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83</w:t>
            </w:r>
          </w:p>
        </w:tc>
        <w:tc>
          <w:tcPr>
            <w:tcW w:w="4860" w:type="dxa"/>
            <w:tcBorders>
              <w:top w:val="nil"/>
              <w:left w:val="nil"/>
              <w:bottom w:val="single" w:sz="4" w:space="0" w:color="auto"/>
              <w:right w:val="single" w:sz="4" w:space="0" w:color="auto"/>
            </w:tcBorders>
            <w:shd w:val="clear" w:color="auto" w:fill="auto"/>
            <w:vAlign w:val="center"/>
            <w:hideMark/>
          </w:tcPr>
          <w:p w14:paraId="5EBB0D7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Amount excluded from AT1 due to cap (excess over cap after redemptions and maturities)</w:t>
            </w:r>
          </w:p>
        </w:tc>
        <w:tc>
          <w:tcPr>
            <w:tcW w:w="1350" w:type="dxa"/>
            <w:tcBorders>
              <w:top w:val="nil"/>
              <w:left w:val="nil"/>
              <w:bottom w:val="single" w:sz="4" w:space="0" w:color="auto"/>
              <w:right w:val="single" w:sz="4" w:space="0" w:color="auto"/>
            </w:tcBorders>
            <w:shd w:val="clear" w:color="auto" w:fill="auto"/>
            <w:vAlign w:val="center"/>
            <w:hideMark/>
          </w:tcPr>
          <w:p w14:paraId="4900D4D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N.A. </w:t>
            </w:r>
          </w:p>
        </w:tc>
        <w:tc>
          <w:tcPr>
            <w:tcW w:w="1350" w:type="dxa"/>
            <w:tcBorders>
              <w:top w:val="nil"/>
              <w:left w:val="nil"/>
              <w:bottom w:val="single" w:sz="4" w:space="0" w:color="auto"/>
              <w:right w:val="single" w:sz="4" w:space="0" w:color="auto"/>
            </w:tcBorders>
            <w:shd w:val="clear" w:color="auto" w:fill="auto"/>
            <w:vAlign w:val="center"/>
            <w:hideMark/>
          </w:tcPr>
          <w:p w14:paraId="3FF3106E"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6ACA263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C0D97C2" w14:textId="77777777" w:rsidTr="00040726">
        <w:trPr>
          <w:trHeight w:val="22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70E0F2D"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84</w:t>
            </w:r>
          </w:p>
        </w:tc>
        <w:tc>
          <w:tcPr>
            <w:tcW w:w="4860" w:type="dxa"/>
            <w:tcBorders>
              <w:top w:val="nil"/>
              <w:left w:val="nil"/>
              <w:bottom w:val="single" w:sz="4" w:space="0" w:color="auto"/>
              <w:right w:val="single" w:sz="4" w:space="0" w:color="auto"/>
            </w:tcBorders>
            <w:shd w:val="clear" w:color="auto" w:fill="auto"/>
            <w:vAlign w:val="center"/>
            <w:hideMark/>
          </w:tcPr>
          <w:p w14:paraId="316901D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Current cap on T2 instruments subject to phase out arrangements</w:t>
            </w:r>
          </w:p>
        </w:tc>
        <w:tc>
          <w:tcPr>
            <w:tcW w:w="1350" w:type="dxa"/>
            <w:tcBorders>
              <w:top w:val="nil"/>
              <w:left w:val="nil"/>
              <w:bottom w:val="single" w:sz="4" w:space="0" w:color="auto"/>
              <w:right w:val="single" w:sz="4" w:space="0" w:color="auto"/>
            </w:tcBorders>
            <w:shd w:val="clear" w:color="auto" w:fill="auto"/>
            <w:vAlign w:val="center"/>
            <w:hideMark/>
          </w:tcPr>
          <w:p w14:paraId="2477B24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N.A. </w:t>
            </w:r>
          </w:p>
        </w:tc>
        <w:tc>
          <w:tcPr>
            <w:tcW w:w="1350" w:type="dxa"/>
            <w:tcBorders>
              <w:top w:val="nil"/>
              <w:left w:val="nil"/>
              <w:bottom w:val="single" w:sz="4" w:space="0" w:color="auto"/>
              <w:right w:val="single" w:sz="4" w:space="0" w:color="auto"/>
            </w:tcBorders>
            <w:shd w:val="clear" w:color="auto" w:fill="auto"/>
            <w:vAlign w:val="center"/>
            <w:hideMark/>
          </w:tcPr>
          <w:p w14:paraId="1EFF113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3A44CA3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D68B2FF" w14:textId="77777777" w:rsidTr="00040726">
        <w:trPr>
          <w:trHeight w:val="29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083E523"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85</w:t>
            </w:r>
          </w:p>
        </w:tc>
        <w:tc>
          <w:tcPr>
            <w:tcW w:w="4860" w:type="dxa"/>
            <w:tcBorders>
              <w:top w:val="nil"/>
              <w:left w:val="nil"/>
              <w:bottom w:val="single" w:sz="4" w:space="0" w:color="auto"/>
              <w:right w:val="single" w:sz="4" w:space="0" w:color="auto"/>
            </w:tcBorders>
            <w:shd w:val="clear" w:color="auto" w:fill="auto"/>
            <w:vAlign w:val="center"/>
            <w:hideMark/>
          </w:tcPr>
          <w:p w14:paraId="4EFA4CB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Amount excluded from T2 due to cap (excess over cap after redemptions and maturities)</w:t>
            </w:r>
          </w:p>
        </w:tc>
        <w:tc>
          <w:tcPr>
            <w:tcW w:w="1350" w:type="dxa"/>
            <w:tcBorders>
              <w:top w:val="nil"/>
              <w:left w:val="nil"/>
              <w:bottom w:val="single" w:sz="4" w:space="0" w:color="auto"/>
              <w:right w:val="single" w:sz="4" w:space="0" w:color="auto"/>
            </w:tcBorders>
            <w:shd w:val="clear" w:color="auto" w:fill="auto"/>
            <w:vAlign w:val="center"/>
            <w:hideMark/>
          </w:tcPr>
          <w:p w14:paraId="735D58D3"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N.A. </w:t>
            </w:r>
          </w:p>
        </w:tc>
        <w:tc>
          <w:tcPr>
            <w:tcW w:w="1350" w:type="dxa"/>
            <w:tcBorders>
              <w:top w:val="nil"/>
              <w:left w:val="nil"/>
              <w:bottom w:val="single" w:sz="4" w:space="0" w:color="auto"/>
              <w:right w:val="single" w:sz="4" w:space="0" w:color="auto"/>
            </w:tcBorders>
            <w:shd w:val="clear" w:color="auto" w:fill="auto"/>
            <w:vAlign w:val="center"/>
            <w:hideMark/>
          </w:tcPr>
          <w:p w14:paraId="5F2582C6"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w:t>
            </w:r>
          </w:p>
        </w:tc>
        <w:tc>
          <w:tcPr>
            <w:tcW w:w="1435" w:type="dxa"/>
            <w:tcBorders>
              <w:top w:val="nil"/>
              <w:left w:val="nil"/>
              <w:bottom w:val="single" w:sz="4" w:space="0" w:color="auto"/>
              <w:right w:val="single" w:sz="4" w:space="0" w:color="auto"/>
            </w:tcBorders>
            <w:shd w:val="clear" w:color="auto" w:fill="auto"/>
            <w:vAlign w:val="center"/>
            <w:hideMark/>
          </w:tcPr>
          <w:p w14:paraId="3D16C3F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bl>
    <w:p w14:paraId="24A7B96E" w14:textId="77777777" w:rsidR="004C1CA7" w:rsidRPr="001D70E9" w:rsidRDefault="004C1CA7" w:rsidP="004C1CA7">
      <w:pPr>
        <w:rPr>
          <w:sz w:val="22"/>
          <w:szCs w:val="22"/>
        </w:rPr>
      </w:pPr>
    </w:p>
    <w:p w14:paraId="51816DCD" w14:textId="77777777" w:rsidR="004C1CA7" w:rsidRPr="001D70E9" w:rsidRDefault="004C1CA7" w:rsidP="004C1CA7">
      <w:pPr>
        <w:rPr>
          <w:sz w:val="22"/>
          <w:szCs w:val="22"/>
        </w:rPr>
      </w:pPr>
    </w:p>
    <w:tbl>
      <w:tblPr>
        <w:tblW w:w="9645" w:type="dxa"/>
        <w:tblInd w:w="93" w:type="dxa"/>
        <w:tblLook w:val="04A0" w:firstRow="1" w:lastRow="0" w:firstColumn="1" w:lastColumn="0" w:noHBand="0" w:noVBand="1"/>
      </w:tblPr>
      <w:tblGrid>
        <w:gridCol w:w="1109"/>
        <w:gridCol w:w="6299"/>
        <w:gridCol w:w="2237"/>
      </w:tblGrid>
      <w:tr w:rsidR="004C1CA7" w:rsidRPr="001D70E9" w14:paraId="5384CD25" w14:textId="77777777" w:rsidTr="00040726">
        <w:trPr>
          <w:trHeight w:val="315"/>
        </w:trPr>
        <w:tc>
          <w:tcPr>
            <w:tcW w:w="964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5E3E31" w14:textId="77777777" w:rsidR="004C1CA7" w:rsidRPr="0009652C" w:rsidRDefault="004C1CA7" w:rsidP="00040726">
            <w:pPr>
              <w:overflowPunct/>
              <w:autoSpaceDE/>
              <w:autoSpaceDN/>
              <w:adjustRightInd/>
              <w:jc w:val="center"/>
              <w:textAlignment w:val="auto"/>
              <w:rPr>
                <w:b/>
                <w:color w:val="000000"/>
                <w:sz w:val="24"/>
                <w:szCs w:val="24"/>
                <w:lang w:val="en-CA" w:eastAsia="en-CA"/>
              </w:rPr>
            </w:pPr>
            <w:r w:rsidRPr="0009652C">
              <w:rPr>
                <w:b/>
                <w:color w:val="000000"/>
                <w:sz w:val="24"/>
                <w:szCs w:val="24"/>
                <w:lang w:val="en-CA" w:eastAsia="en-CA"/>
              </w:rPr>
              <w:t>Note to the template</w:t>
            </w:r>
          </w:p>
        </w:tc>
      </w:tr>
      <w:tr w:rsidR="004C1CA7" w:rsidRPr="001D70E9" w14:paraId="50FB4AE5" w14:textId="77777777" w:rsidTr="00040726">
        <w:trPr>
          <w:trHeight w:val="945"/>
        </w:trPr>
        <w:tc>
          <w:tcPr>
            <w:tcW w:w="1043" w:type="dxa"/>
            <w:tcBorders>
              <w:top w:val="nil"/>
              <w:left w:val="single" w:sz="4" w:space="0" w:color="auto"/>
              <w:bottom w:val="single" w:sz="4" w:space="0" w:color="auto"/>
              <w:right w:val="single" w:sz="4" w:space="0" w:color="auto"/>
            </w:tcBorders>
            <w:shd w:val="clear" w:color="auto" w:fill="auto"/>
            <w:vAlign w:val="center"/>
            <w:hideMark/>
          </w:tcPr>
          <w:p w14:paraId="28BEDB49" w14:textId="77777777" w:rsidR="004C1CA7" w:rsidRPr="0009652C" w:rsidRDefault="004C1CA7" w:rsidP="00040726">
            <w:pPr>
              <w:overflowPunct/>
              <w:autoSpaceDE/>
              <w:autoSpaceDN/>
              <w:adjustRightInd/>
              <w:jc w:val="center"/>
              <w:textAlignment w:val="auto"/>
              <w:rPr>
                <w:b/>
                <w:color w:val="000000"/>
                <w:sz w:val="24"/>
                <w:szCs w:val="24"/>
                <w:lang w:val="en-CA" w:eastAsia="en-CA"/>
              </w:rPr>
            </w:pPr>
            <w:r w:rsidRPr="0009652C">
              <w:rPr>
                <w:b/>
                <w:color w:val="000000"/>
                <w:sz w:val="24"/>
                <w:szCs w:val="24"/>
                <w:lang w:val="en-CA" w:eastAsia="en-CA"/>
              </w:rPr>
              <w:t>Row No. of the template</w:t>
            </w:r>
          </w:p>
        </w:tc>
        <w:tc>
          <w:tcPr>
            <w:tcW w:w="6352" w:type="dxa"/>
            <w:tcBorders>
              <w:top w:val="nil"/>
              <w:left w:val="nil"/>
              <w:bottom w:val="single" w:sz="4" w:space="0" w:color="auto"/>
              <w:right w:val="single" w:sz="4" w:space="0" w:color="auto"/>
            </w:tcBorders>
            <w:shd w:val="clear" w:color="auto" w:fill="auto"/>
            <w:vAlign w:val="center"/>
            <w:hideMark/>
          </w:tcPr>
          <w:p w14:paraId="3CEF4700" w14:textId="77777777" w:rsidR="004C1CA7" w:rsidRPr="0009652C" w:rsidRDefault="004C1CA7" w:rsidP="00040726">
            <w:pPr>
              <w:overflowPunct/>
              <w:autoSpaceDE/>
              <w:autoSpaceDN/>
              <w:adjustRightInd/>
              <w:jc w:val="center"/>
              <w:textAlignment w:val="auto"/>
              <w:rPr>
                <w:b/>
                <w:color w:val="000000"/>
                <w:sz w:val="24"/>
                <w:szCs w:val="24"/>
                <w:lang w:val="en-CA" w:eastAsia="en-CA"/>
              </w:rPr>
            </w:pPr>
            <w:r w:rsidRPr="0009652C">
              <w:rPr>
                <w:b/>
                <w:color w:val="000000"/>
                <w:sz w:val="24"/>
                <w:szCs w:val="24"/>
                <w:lang w:val="en-CA" w:eastAsia="en-CA"/>
              </w:rPr>
              <w:t>Particular</w:t>
            </w:r>
          </w:p>
        </w:tc>
        <w:tc>
          <w:tcPr>
            <w:tcW w:w="2250" w:type="dxa"/>
            <w:tcBorders>
              <w:top w:val="nil"/>
              <w:left w:val="nil"/>
              <w:bottom w:val="single" w:sz="4" w:space="0" w:color="auto"/>
              <w:right w:val="single" w:sz="4" w:space="0" w:color="auto"/>
            </w:tcBorders>
            <w:shd w:val="clear" w:color="auto" w:fill="auto"/>
            <w:vAlign w:val="center"/>
            <w:hideMark/>
          </w:tcPr>
          <w:p w14:paraId="4283AFC7" w14:textId="77777777" w:rsidR="004C1CA7" w:rsidRPr="0009652C" w:rsidRDefault="004C1CA7" w:rsidP="00040726">
            <w:pPr>
              <w:overflowPunct/>
              <w:autoSpaceDE/>
              <w:autoSpaceDN/>
              <w:adjustRightInd/>
              <w:jc w:val="center"/>
              <w:textAlignment w:val="auto"/>
              <w:rPr>
                <w:b/>
                <w:color w:val="000000"/>
                <w:sz w:val="24"/>
                <w:szCs w:val="24"/>
                <w:lang w:val="en-CA" w:eastAsia="en-CA"/>
              </w:rPr>
            </w:pPr>
            <w:r w:rsidRPr="0009652C">
              <w:rPr>
                <w:b/>
                <w:color w:val="000000"/>
                <w:sz w:val="24"/>
                <w:szCs w:val="24"/>
                <w:lang w:val="en-CA" w:eastAsia="en-CA"/>
              </w:rPr>
              <w:t xml:space="preserve"> In Rs.000’s </w:t>
            </w:r>
          </w:p>
        </w:tc>
      </w:tr>
      <w:tr w:rsidR="004C1CA7" w:rsidRPr="001D70E9" w14:paraId="09BD9C64" w14:textId="77777777" w:rsidTr="00040726">
        <w:trPr>
          <w:trHeight w:val="315"/>
        </w:trPr>
        <w:tc>
          <w:tcPr>
            <w:tcW w:w="1043" w:type="dxa"/>
            <w:vMerge w:val="restart"/>
            <w:tcBorders>
              <w:top w:val="nil"/>
              <w:left w:val="single" w:sz="4" w:space="0" w:color="auto"/>
              <w:bottom w:val="single" w:sz="4" w:space="0" w:color="auto"/>
              <w:right w:val="single" w:sz="4" w:space="0" w:color="auto"/>
            </w:tcBorders>
            <w:shd w:val="clear" w:color="auto" w:fill="auto"/>
            <w:vAlign w:val="center"/>
            <w:hideMark/>
          </w:tcPr>
          <w:p w14:paraId="537518B8"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10</w:t>
            </w:r>
          </w:p>
        </w:tc>
        <w:tc>
          <w:tcPr>
            <w:tcW w:w="6352" w:type="dxa"/>
            <w:tcBorders>
              <w:top w:val="nil"/>
              <w:left w:val="nil"/>
              <w:bottom w:val="single" w:sz="4" w:space="0" w:color="auto"/>
              <w:right w:val="single" w:sz="4" w:space="0" w:color="auto"/>
            </w:tcBorders>
            <w:shd w:val="clear" w:color="auto" w:fill="auto"/>
            <w:vAlign w:val="center"/>
            <w:hideMark/>
          </w:tcPr>
          <w:p w14:paraId="4E42296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Deferred tax assets associated with accumulated losses</w:t>
            </w:r>
          </w:p>
        </w:tc>
        <w:tc>
          <w:tcPr>
            <w:tcW w:w="2250" w:type="dxa"/>
            <w:tcBorders>
              <w:top w:val="nil"/>
              <w:left w:val="nil"/>
              <w:bottom w:val="single" w:sz="4" w:space="0" w:color="auto"/>
              <w:right w:val="single" w:sz="4" w:space="0" w:color="auto"/>
            </w:tcBorders>
            <w:shd w:val="clear" w:color="auto" w:fill="auto"/>
            <w:vAlign w:val="center"/>
            <w:hideMark/>
          </w:tcPr>
          <w:p w14:paraId="5B3B371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5B1D1711" w14:textId="77777777" w:rsidTr="00040726">
        <w:trPr>
          <w:trHeight w:val="630"/>
        </w:trPr>
        <w:tc>
          <w:tcPr>
            <w:tcW w:w="1043" w:type="dxa"/>
            <w:vMerge/>
            <w:tcBorders>
              <w:top w:val="nil"/>
              <w:left w:val="single" w:sz="4" w:space="0" w:color="auto"/>
              <w:bottom w:val="single" w:sz="4" w:space="0" w:color="auto"/>
              <w:right w:val="single" w:sz="4" w:space="0" w:color="auto"/>
            </w:tcBorders>
            <w:vAlign w:val="center"/>
            <w:hideMark/>
          </w:tcPr>
          <w:p w14:paraId="4A2567CB"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tcBorders>
              <w:top w:val="nil"/>
              <w:left w:val="nil"/>
              <w:bottom w:val="single" w:sz="4" w:space="0" w:color="auto"/>
              <w:right w:val="single" w:sz="4" w:space="0" w:color="auto"/>
            </w:tcBorders>
            <w:shd w:val="clear" w:color="auto" w:fill="auto"/>
            <w:vAlign w:val="center"/>
            <w:hideMark/>
          </w:tcPr>
          <w:p w14:paraId="180BAAD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Deferred tax assets (excluding those associated with accumulated losses) net of Deferred tax liability</w:t>
            </w:r>
          </w:p>
        </w:tc>
        <w:tc>
          <w:tcPr>
            <w:tcW w:w="2250" w:type="dxa"/>
            <w:tcBorders>
              <w:top w:val="nil"/>
              <w:left w:val="nil"/>
              <w:bottom w:val="single" w:sz="4" w:space="0" w:color="auto"/>
              <w:right w:val="single" w:sz="4" w:space="0" w:color="auto"/>
            </w:tcBorders>
            <w:shd w:val="clear" w:color="auto" w:fill="auto"/>
            <w:vAlign w:val="center"/>
            <w:hideMark/>
          </w:tcPr>
          <w:p w14:paraId="12A4E620" w14:textId="77777777" w:rsidR="004C1CA7" w:rsidRPr="00BE774C" w:rsidRDefault="004C1CA7" w:rsidP="00040726">
            <w:pPr>
              <w:overflowPunct/>
              <w:autoSpaceDE/>
              <w:autoSpaceDN/>
              <w:adjustRightInd/>
              <w:jc w:val="right"/>
              <w:textAlignment w:val="auto"/>
              <w:rPr>
                <w:color w:val="000000"/>
                <w:sz w:val="24"/>
                <w:szCs w:val="24"/>
                <w:lang w:val="en-CA" w:eastAsia="en-CA"/>
              </w:rPr>
            </w:pPr>
            <w:r w:rsidRPr="00BE774C">
              <w:rPr>
                <w:color w:val="000000"/>
                <w:sz w:val="24"/>
                <w:szCs w:val="24"/>
                <w:lang w:val="en-CA" w:eastAsia="en-CA"/>
              </w:rPr>
              <w:t xml:space="preserve">             </w:t>
            </w:r>
            <w:r>
              <w:rPr>
                <w:color w:val="000000"/>
                <w:sz w:val="24"/>
                <w:szCs w:val="24"/>
                <w:lang w:val="en-CA" w:eastAsia="en-CA"/>
              </w:rPr>
              <w:t>412,204</w:t>
            </w:r>
          </w:p>
        </w:tc>
      </w:tr>
      <w:tr w:rsidR="004C1CA7" w:rsidRPr="001D70E9" w14:paraId="45215B00" w14:textId="77777777" w:rsidTr="00040726">
        <w:trPr>
          <w:trHeight w:val="315"/>
        </w:trPr>
        <w:tc>
          <w:tcPr>
            <w:tcW w:w="1043" w:type="dxa"/>
            <w:vMerge/>
            <w:tcBorders>
              <w:top w:val="nil"/>
              <w:left w:val="single" w:sz="4" w:space="0" w:color="auto"/>
              <w:bottom w:val="single" w:sz="4" w:space="0" w:color="auto"/>
              <w:right w:val="single" w:sz="4" w:space="0" w:color="auto"/>
            </w:tcBorders>
            <w:vAlign w:val="center"/>
            <w:hideMark/>
          </w:tcPr>
          <w:p w14:paraId="060ABEEC"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tcBorders>
              <w:top w:val="nil"/>
              <w:left w:val="nil"/>
              <w:bottom w:val="single" w:sz="4" w:space="0" w:color="auto"/>
              <w:right w:val="single" w:sz="4" w:space="0" w:color="auto"/>
            </w:tcBorders>
            <w:shd w:val="clear" w:color="auto" w:fill="auto"/>
            <w:vAlign w:val="center"/>
            <w:hideMark/>
          </w:tcPr>
          <w:p w14:paraId="654B0BB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Total as indicated in row 10</w:t>
            </w:r>
          </w:p>
        </w:tc>
        <w:tc>
          <w:tcPr>
            <w:tcW w:w="2250" w:type="dxa"/>
            <w:tcBorders>
              <w:top w:val="nil"/>
              <w:left w:val="nil"/>
              <w:bottom w:val="single" w:sz="4" w:space="0" w:color="auto"/>
              <w:right w:val="single" w:sz="4" w:space="0" w:color="auto"/>
            </w:tcBorders>
            <w:shd w:val="clear" w:color="auto" w:fill="auto"/>
            <w:vAlign w:val="center"/>
            <w:hideMark/>
          </w:tcPr>
          <w:p w14:paraId="0B0E7814" w14:textId="77777777" w:rsidR="004C1CA7" w:rsidRPr="00BE774C" w:rsidRDefault="004C1CA7" w:rsidP="00040726">
            <w:pPr>
              <w:overflowPunct/>
              <w:autoSpaceDE/>
              <w:autoSpaceDN/>
              <w:adjustRightInd/>
              <w:jc w:val="right"/>
              <w:textAlignment w:val="auto"/>
              <w:rPr>
                <w:color w:val="000000"/>
                <w:sz w:val="24"/>
                <w:szCs w:val="24"/>
                <w:lang w:val="en-CA" w:eastAsia="en-CA"/>
              </w:rPr>
            </w:pPr>
            <w:r w:rsidRPr="00BE774C">
              <w:rPr>
                <w:color w:val="000000"/>
                <w:sz w:val="24"/>
                <w:szCs w:val="24"/>
                <w:lang w:val="en-CA" w:eastAsia="en-CA"/>
              </w:rPr>
              <w:t xml:space="preserve">             </w:t>
            </w:r>
            <w:r>
              <w:rPr>
                <w:color w:val="000000"/>
                <w:sz w:val="24"/>
                <w:szCs w:val="24"/>
                <w:lang w:val="en-CA" w:eastAsia="en-CA"/>
              </w:rPr>
              <w:t>412,204</w:t>
            </w:r>
          </w:p>
        </w:tc>
      </w:tr>
      <w:tr w:rsidR="004C1CA7" w:rsidRPr="001D70E9" w14:paraId="1AAB54E4" w14:textId="77777777" w:rsidTr="00040726">
        <w:trPr>
          <w:trHeight w:val="464"/>
        </w:trPr>
        <w:tc>
          <w:tcPr>
            <w:tcW w:w="1043" w:type="dxa"/>
            <w:vMerge w:val="restart"/>
            <w:tcBorders>
              <w:top w:val="nil"/>
              <w:left w:val="single" w:sz="4" w:space="0" w:color="auto"/>
              <w:bottom w:val="single" w:sz="4" w:space="0" w:color="auto"/>
              <w:right w:val="single" w:sz="4" w:space="0" w:color="auto"/>
            </w:tcBorders>
            <w:shd w:val="clear" w:color="auto" w:fill="auto"/>
            <w:vAlign w:val="center"/>
            <w:hideMark/>
          </w:tcPr>
          <w:p w14:paraId="2BACF0A2"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19</w:t>
            </w:r>
          </w:p>
        </w:tc>
        <w:tc>
          <w:tcPr>
            <w:tcW w:w="6352" w:type="dxa"/>
            <w:vMerge w:val="restart"/>
            <w:tcBorders>
              <w:top w:val="nil"/>
              <w:left w:val="single" w:sz="4" w:space="0" w:color="auto"/>
              <w:bottom w:val="single" w:sz="4" w:space="0" w:color="auto"/>
              <w:right w:val="single" w:sz="4" w:space="0" w:color="auto"/>
            </w:tcBorders>
            <w:shd w:val="clear" w:color="auto" w:fill="auto"/>
            <w:vAlign w:val="center"/>
            <w:hideMark/>
          </w:tcPr>
          <w:p w14:paraId="2498445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If investments in insurance subsidiaries are not deducted fully from capital and instead considered under 10% threshold for deduction, the resultant increase in the capital of bank</w:t>
            </w:r>
          </w:p>
        </w:tc>
        <w:tc>
          <w:tcPr>
            <w:tcW w:w="2250" w:type="dxa"/>
            <w:vMerge w:val="restart"/>
            <w:tcBorders>
              <w:top w:val="nil"/>
              <w:left w:val="single" w:sz="4" w:space="0" w:color="auto"/>
              <w:bottom w:val="single" w:sz="4" w:space="0" w:color="auto"/>
              <w:right w:val="single" w:sz="4" w:space="0" w:color="auto"/>
            </w:tcBorders>
            <w:shd w:val="clear" w:color="auto" w:fill="auto"/>
            <w:vAlign w:val="center"/>
            <w:hideMark/>
          </w:tcPr>
          <w:p w14:paraId="00821D5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430EEE54" w14:textId="77777777" w:rsidTr="00040726">
        <w:trPr>
          <w:trHeight w:val="464"/>
        </w:trPr>
        <w:tc>
          <w:tcPr>
            <w:tcW w:w="1043" w:type="dxa"/>
            <w:vMerge/>
            <w:tcBorders>
              <w:top w:val="nil"/>
              <w:left w:val="single" w:sz="4" w:space="0" w:color="auto"/>
              <w:bottom w:val="single" w:sz="4" w:space="0" w:color="auto"/>
              <w:right w:val="single" w:sz="4" w:space="0" w:color="auto"/>
            </w:tcBorders>
            <w:vAlign w:val="center"/>
            <w:hideMark/>
          </w:tcPr>
          <w:p w14:paraId="39E4659A"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vMerge/>
            <w:tcBorders>
              <w:top w:val="nil"/>
              <w:left w:val="single" w:sz="4" w:space="0" w:color="auto"/>
              <w:bottom w:val="single" w:sz="4" w:space="0" w:color="auto"/>
              <w:right w:val="single" w:sz="4" w:space="0" w:color="auto"/>
            </w:tcBorders>
            <w:vAlign w:val="center"/>
            <w:hideMark/>
          </w:tcPr>
          <w:p w14:paraId="0A1AA1D3"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2250" w:type="dxa"/>
            <w:vMerge/>
            <w:tcBorders>
              <w:top w:val="nil"/>
              <w:left w:val="single" w:sz="4" w:space="0" w:color="auto"/>
              <w:bottom w:val="single" w:sz="4" w:space="0" w:color="auto"/>
              <w:right w:val="single" w:sz="4" w:space="0" w:color="auto"/>
            </w:tcBorders>
            <w:vAlign w:val="center"/>
            <w:hideMark/>
          </w:tcPr>
          <w:p w14:paraId="3ABEC16B" w14:textId="77777777" w:rsidR="004C1CA7" w:rsidRPr="001D70E9" w:rsidRDefault="004C1CA7" w:rsidP="00040726">
            <w:pPr>
              <w:overflowPunct/>
              <w:autoSpaceDE/>
              <w:autoSpaceDN/>
              <w:adjustRightInd/>
              <w:textAlignment w:val="auto"/>
              <w:rPr>
                <w:color w:val="000000"/>
                <w:sz w:val="24"/>
                <w:szCs w:val="24"/>
                <w:lang w:val="en-CA" w:eastAsia="en-CA"/>
              </w:rPr>
            </w:pPr>
          </w:p>
        </w:tc>
      </w:tr>
      <w:tr w:rsidR="004C1CA7" w:rsidRPr="001D70E9" w14:paraId="48721EAD" w14:textId="77777777" w:rsidTr="00040726">
        <w:trPr>
          <w:trHeight w:val="315"/>
        </w:trPr>
        <w:tc>
          <w:tcPr>
            <w:tcW w:w="1043" w:type="dxa"/>
            <w:vMerge/>
            <w:tcBorders>
              <w:top w:val="nil"/>
              <w:left w:val="single" w:sz="4" w:space="0" w:color="auto"/>
              <w:bottom w:val="single" w:sz="4" w:space="0" w:color="auto"/>
              <w:right w:val="single" w:sz="4" w:space="0" w:color="auto"/>
            </w:tcBorders>
            <w:vAlign w:val="center"/>
            <w:hideMark/>
          </w:tcPr>
          <w:p w14:paraId="2ED9D8CB"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tcBorders>
              <w:top w:val="nil"/>
              <w:left w:val="nil"/>
              <w:bottom w:val="single" w:sz="4" w:space="0" w:color="auto"/>
              <w:right w:val="single" w:sz="4" w:space="0" w:color="auto"/>
            </w:tcBorders>
            <w:shd w:val="clear" w:color="auto" w:fill="auto"/>
            <w:vAlign w:val="center"/>
            <w:hideMark/>
          </w:tcPr>
          <w:p w14:paraId="765EBA2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Increase in Common Equity Tier 1 capital</w:t>
            </w:r>
          </w:p>
        </w:tc>
        <w:tc>
          <w:tcPr>
            <w:tcW w:w="2250" w:type="dxa"/>
            <w:tcBorders>
              <w:top w:val="nil"/>
              <w:left w:val="nil"/>
              <w:bottom w:val="single" w:sz="4" w:space="0" w:color="auto"/>
              <w:right w:val="single" w:sz="4" w:space="0" w:color="auto"/>
            </w:tcBorders>
            <w:shd w:val="clear" w:color="auto" w:fill="auto"/>
            <w:vAlign w:val="center"/>
            <w:hideMark/>
          </w:tcPr>
          <w:p w14:paraId="2B17BB1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1E50E4CB" w14:textId="77777777" w:rsidTr="00040726">
        <w:trPr>
          <w:trHeight w:val="315"/>
        </w:trPr>
        <w:tc>
          <w:tcPr>
            <w:tcW w:w="1043" w:type="dxa"/>
            <w:vMerge/>
            <w:tcBorders>
              <w:top w:val="nil"/>
              <w:left w:val="single" w:sz="4" w:space="0" w:color="auto"/>
              <w:bottom w:val="single" w:sz="4" w:space="0" w:color="auto"/>
              <w:right w:val="single" w:sz="4" w:space="0" w:color="auto"/>
            </w:tcBorders>
            <w:vAlign w:val="center"/>
            <w:hideMark/>
          </w:tcPr>
          <w:p w14:paraId="5D0FB633"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tcBorders>
              <w:top w:val="nil"/>
              <w:left w:val="nil"/>
              <w:bottom w:val="single" w:sz="4" w:space="0" w:color="auto"/>
              <w:right w:val="single" w:sz="4" w:space="0" w:color="auto"/>
            </w:tcBorders>
            <w:shd w:val="clear" w:color="auto" w:fill="auto"/>
            <w:vAlign w:val="center"/>
            <w:hideMark/>
          </w:tcPr>
          <w:p w14:paraId="3ECDBD2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Increase in Additional Tier 1 capital</w:t>
            </w:r>
          </w:p>
        </w:tc>
        <w:tc>
          <w:tcPr>
            <w:tcW w:w="2250" w:type="dxa"/>
            <w:tcBorders>
              <w:top w:val="nil"/>
              <w:left w:val="nil"/>
              <w:bottom w:val="single" w:sz="4" w:space="0" w:color="auto"/>
              <w:right w:val="single" w:sz="4" w:space="0" w:color="auto"/>
            </w:tcBorders>
            <w:shd w:val="clear" w:color="auto" w:fill="auto"/>
            <w:vAlign w:val="center"/>
            <w:hideMark/>
          </w:tcPr>
          <w:p w14:paraId="75DF9B2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1A96C149" w14:textId="77777777" w:rsidTr="00040726">
        <w:trPr>
          <w:trHeight w:val="315"/>
        </w:trPr>
        <w:tc>
          <w:tcPr>
            <w:tcW w:w="1043" w:type="dxa"/>
            <w:vMerge/>
            <w:tcBorders>
              <w:top w:val="nil"/>
              <w:left w:val="single" w:sz="4" w:space="0" w:color="auto"/>
              <w:bottom w:val="single" w:sz="4" w:space="0" w:color="auto"/>
              <w:right w:val="single" w:sz="4" w:space="0" w:color="auto"/>
            </w:tcBorders>
            <w:vAlign w:val="center"/>
            <w:hideMark/>
          </w:tcPr>
          <w:p w14:paraId="2065F253"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tcBorders>
              <w:top w:val="nil"/>
              <w:left w:val="nil"/>
              <w:bottom w:val="single" w:sz="4" w:space="0" w:color="auto"/>
              <w:right w:val="single" w:sz="4" w:space="0" w:color="auto"/>
            </w:tcBorders>
            <w:shd w:val="clear" w:color="auto" w:fill="auto"/>
            <w:vAlign w:val="center"/>
            <w:hideMark/>
          </w:tcPr>
          <w:p w14:paraId="020E24E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Increase in Tier 2 capital</w:t>
            </w:r>
          </w:p>
        </w:tc>
        <w:tc>
          <w:tcPr>
            <w:tcW w:w="2250" w:type="dxa"/>
            <w:tcBorders>
              <w:top w:val="nil"/>
              <w:left w:val="nil"/>
              <w:bottom w:val="single" w:sz="4" w:space="0" w:color="auto"/>
              <w:right w:val="single" w:sz="4" w:space="0" w:color="auto"/>
            </w:tcBorders>
            <w:shd w:val="clear" w:color="auto" w:fill="auto"/>
            <w:vAlign w:val="center"/>
            <w:hideMark/>
          </w:tcPr>
          <w:p w14:paraId="73ABA2F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28F01B75" w14:textId="77777777" w:rsidTr="00040726">
        <w:trPr>
          <w:trHeight w:val="464"/>
        </w:trPr>
        <w:tc>
          <w:tcPr>
            <w:tcW w:w="1043" w:type="dxa"/>
            <w:vMerge w:val="restart"/>
            <w:tcBorders>
              <w:top w:val="nil"/>
              <w:left w:val="single" w:sz="4" w:space="0" w:color="auto"/>
              <w:bottom w:val="single" w:sz="4" w:space="0" w:color="auto"/>
              <w:right w:val="single" w:sz="4" w:space="0" w:color="auto"/>
            </w:tcBorders>
            <w:shd w:val="clear" w:color="auto" w:fill="auto"/>
            <w:vAlign w:val="center"/>
            <w:hideMark/>
          </w:tcPr>
          <w:p w14:paraId="2481CDE3"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26b</w:t>
            </w:r>
          </w:p>
        </w:tc>
        <w:tc>
          <w:tcPr>
            <w:tcW w:w="6352" w:type="dxa"/>
            <w:vMerge w:val="restart"/>
            <w:tcBorders>
              <w:top w:val="nil"/>
              <w:left w:val="single" w:sz="4" w:space="0" w:color="auto"/>
              <w:bottom w:val="single" w:sz="4" w:space="0" w:color="auto"/>
              <w:right w:val="single" w:sz="4" w:space="0" w:color="auto"/>
            </w:tcBorders>
            <w:shd w:val="clear" w:color="auto" w:fill="auto"/>
            <w:vAlign w:val="center"/>
            <w:hideMark/>
          </w:tcPr>
          <w:p w14:paraId="22C4321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If investments in the equity capital of unconsolidated non-financial subsidiaries are not deducted and hence, risk weighted </w:t>
            </w:r>
            <w:proofErr w:type="gramStart"/>
            <w:r w:rsidRPr="001D70E9">
              <w:rPr>
                <w:color w:val="000000"/>
                <w:sz w:val="24"/>
                <w:szCs w:val="24"/>
                <w:lang w:val="en-CA" w:eastAsia="en-CA"/>
              </w:rPr>
              <w:t>then :</w:t>
            </w:r>
            <w:proofErr w:type="gramEnd"/>
          </w:p>
        </w:tc>
        <w:tc>
          <w:tcPr>
            <w:tcW w:w="2250" w:type="dxa"/>
            <w:vMerge w:val="restart"/>
            <w:tcBorders>
              <w:top w:val="nil"/>
              <w:left w:val="single" w:sz="4" w:space="0" w:color="auto"/>
              <w:bottom w:val="single" w:sz="4" w:space="0" w:color="auto"/>
              <w:right w:val="single" w:sz="4" w:space="0" w:color="auto"/>
            </w:tcBorders>
            <w:shd w:val="clear" w:color="auto" w:fill="auto"/>
            <w:vAlign w:val="center"/>
            <w:hideMark/>
          </w:tcPr>
          <w:p w14:paraId="5BC17D4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282BE219" w14:textId="77777777" w:rsidTr="00040726">
        <w:trPr>
          <w:trHeight w:val="464"/>
        </w:trPr>
        <w:tc>
          <w:tcPr>
            <w:tcW w:w="1043" w:type="dxa"/>
            <w:vMerge/>
            <w:tcBorders>
              <w:top w:val="nil"/>
              <w:left w:val="single" w:sz="4" w:space="0" w:color="auto"/>
              <w:bottom w:val="single" w:sz="4" w:space="0" w:color="auto"/>
              <w:right w:val="single" w:sz="4" w:space="0" w:color="auto"/>
            </w:tcBorders>
            <w:vAlign w:val="center"/>
            <w:hideMark/>
          </w:tcPr>
          <w:p w14:paraId="1E5A2B5A"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vMerge/>
            <w:tcBorders>
              <w:top w:val="nil"/>
              <w:left w:val="single" w:sz="4" w:space="0" w:color="auto"/>
              <w:bottom w:val="single" w:sz="4" w:space="0" w:color="auto"/>
              <w:right w:val="single" w:sz="4" w:space="0" w:color="auto"/>
            </w:tcBorders>
            <w:vAlign w:val="center"/>
            <w:hideMark/>
          </w:tcPr>
          <w:p w14:paraId="043DD8FE"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2250" w:type="dxa"/>
            <w:vMerge/>
            <w:tcBorders>
              <w:top w:val="nil"/>
              <w:left w:val="single" w:sz="4" w:space="0" w:color="auto"/>
              <w:bottom w:val="single" w:sz="4" w:space="0" w:color="auto"/>
              <w:right w:val="single" w:sz="4" w:space="0" w:color="auto"/>
            </w:tcBorders>
            <w:vAlign w:val="center"/>
            <w:hideMark/>
          </w:tcPr>
          <w:p w14:paraId="53BA2BB7" w14:textId="77777777" w:rsidR="004C1CA7" w:rsidRPr="001D70E9" w:rsidRDefault="004C1CA7" w:rsidP="00040726">
            <w:pPr>
              <w:overflowPunct/>
              <w:autoSpaceDE/>
              <w:autoSpaceDN/>
              <w:adjustRightInd/>
              <w:textAlignment w:val="auto"/>
              <w:rPr>
                <w:color w:val="000000"/>
                <w:sz w:val="24"/>
                <w:szCs w:val="24"/>
                <w:lang w:val="en-CA" w:eastAsia="en-CA"/>
              </w:rPr>
            </w:pPr>
          </w:p>
        </w:tc>
      </w:tr>
      <w:tr w:rsidR="004C1CA7" w:rsidRPr="001D70E9" w14:paraId="7BAA57D9" w14:textId="77777777" w:rsidTr="00040726">
        <w:trPr>
          <w:trHeight w:val="464"/>
        </w:trPr>
        <w:tc>
          <w:tcPr>
            <w:tcW w:w="1043" w:type="dxa"/>
            <w:vMerge/>
            <w:tcBorders>
              <w:top w:val="nil"/>
              <w:left w:val="single" w:sz="4" w:space="0" w:color="auto"/>
              <w:bottom w:val="single" w:sz="4" w:space="0" w:color="auto"/>
              <w:right w:val="single" w:sz="4" w:space="0" w:color="auto"/>
            </w:tcBorders>
            <w:vAlign w:val="center"/>
            <w:hideMark/>
          </w:tcPr>
          <w:p w14:paraId="368DB206"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vMerge/>
            <w:tcBorders>
              <w:top w:val="nil"/>
              <w:left w:val="single" w:sz="4" w:space="0" w:color="auto"/>
              <w:bottom w:val="single" w:sz="4" w:space="0" w:color="auto"/>
              <w:right w:val="single" w:sz="4" w:space="0" w:color="auto"/>
            </w:tcBorders>
            <w:vAlign w:val="center"/>
            <w:hideMark/>
          </w:tcPr>
          <w:p w14:paraId="74F35AF5"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2250" w:type="dxa"/>
            <w:vMerge/>
            <w:tcBorders>
              <w:top w:val="nil"/>
              <w:left w:val="single" w:sz="4" w:space="0" w:color="auto"/>
              <w:bottom w:val="single" w:sz="4" w:space="0" w:color="auto"/>
              <w:right w:val="single" w:sz="4" w:space="0" w:color="auto"/>
            </w:tcBorders>
            <w:vAlign w:val="center"/>
            <w:hideMark/>
          </w:tcPr>
          <w:p w14:paraId="36F54D7C" w14:textId="77777777" w:rsidR="004C1CA7" w:rsidRPr="001D70E9" w:rsidRDefault="004C1CA7" w:rsidP="00040726">
            <w:pPr>
              <w:overflowPunct/>
              <w:autoSpaceDE/>
              <w:autoSpaceDN/>
              <w:adjustRightInd/>
              <w:textAlignment w:val="auto"/>
              <w:rPr>
                <w:color w:val="000000"/>
                <w:sz w:val="24"/>
                <w:szCs w:val="24"/>
                <w:lang w:val="en-CA" w:eastAsia="en-CA"/>
              </w:rPr>
            </w:pPr>
          </w:p>
        </w:tc>
      </w:tr>
      <w:tr w:rsidR="004C1CA7" w:rsidRPr="001D70E9" w14:paraId="51AB6B35" w14:textId="77777777" w:rsidTr="00040726">
        <w:trPr>
          <w:trHeight w:val="315"/>
        </w:trPr>
        <w:tc>
          <w:tcPr>
            <w:tcW w:w="1043" w:type="dxa"/>
            <w:tcBorders>
              <w:top w:val="nil"/>
              <w:left w:val="single" w:sz="4" w:space="0" w:color="auto"/>
              <w:bottom w:val="single" w:sz="4" w:space="0" w:color="auto"/>
              <w:right w:val="single" w:sz="4" w:space="0" w:color="auto"/>
            </w:tcBorders>
            <w:shd w:val="clear" w:color="auto" w:fill="auto"/>
            <w:vAlign w:val="center"/>
            <w:hideMark/>
          </w:tcPr>
          <w:p w14:paraId="50F91CD0"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w:t>
            </w:r>
            <w:proofErr w:type="spellStart"/>
            <w:r w:rsidRPr="001D70E9">
              <w:rPr>
                <w:color w:val="000000"/>
                <w:sz w:val="24"/>
                <w:szCs w:val="24"/>
                <w:lang w:val="en-CA" w:eastAsia="en-CA"/>
              </w:rPr>
              <w:t>i</w:t>
            </w:r>
            <w:proofErr w:type="spellEnd"/>
            <w:r w:rsidRPr="001D70E9">
              <w:rPr>
                <w:color w:val="000000"/>
                <w:sz w:val="24"/>
                <w:szCs w:val="24"/>
                <w:lang w:val="en-CA" w:eastAsia="en-CA"/>
              </w:rPr>
              <w:t>)</w:t>
            </w:r>
          </w:p>
        </w:tc>
        <w:tc>
          <w:tcPr>
            <w:tcW w:w="6352" w:type="dxa"/>
            <w:tcBorders>
              <w:top w:val="nil"/>
              <w:left w:val="nil"/>
              <w:bottom w:val="single" w:sz="4" w:space="0" w:color="auto"/>
              <w:right w:val="single" w:sz="4" w:space="0" w:color="auto"/>
            </w:tcBorders>
            <w:shd w:val="clear" w:color="auto" w:fill="auto"/>
            <w:vAlign w:val="center"/>
            <w:hideMark/>
          </w:tcPr>
          <w:p w14:paraId="7FD3308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Increase in Common Equity Tier 1 capital</w:t>
            </w:r>
          </w:p>
        </w:tc>
        <w:tc>
          <w:tcPr>
            <w:tcW w:w="2250" w:type="dxa"/>
            <w:tcBorders>
              <w:top w:val="nil"/>
              <w:left w:val="nil"/>
              <w:bottom w:val="single" w:sz="4" w:space="0" w:color="auto"/>
              <w:right w:val="single" w:sz="4" w:space="0" w:color="auto"/>
            </w:tcBorders>
            <w:shd w:val="clear" w:color="auto" w:fill="auto"/>
            <w:vAlign w:val="center"/>
            <w:hideMark/>
          </w:tcPr>
          <w:p w14:paraId="63F88FA4"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46623830" w14:textId="77777777" w:rsidTr="00040726">
        <w:trPr>
          <w:trHeight w:val="315"/>
        </w:trPr>
        <w:tc>
          <w:tcPr>
            <w:tcW w:w="1043" w:type="dxa"/>
            <w:tcBorders>
              <w:top w:val="nil"/>
              <w:left w:val="single" w:sz="4" w:space="0" w:color="auto"/>
              <w:bottom w:val="single" w:sz="4" w:space="0" w:color="auto"/>
              <w:right w:val="single" w:sz="4" w:space="0" w:color="auto"/>
            </w:tcBorders>
            <w:shd w:val="clear" w:color="auto" w:fill="auto"/>
            <w:vAlign w:val="center"/>
            <w:hideMark/>
          </w:tcPr>
          <w:p w14:paraId="383CA7EC"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 (ii)</w:t>
            </w:r>
          </w:p>
        </w:tc>
        <w:tc>
          <w:tcPr>
            <w:tcW w:w="6352" w:type="dxa"/>
            <w:tcBorders>
              <w:top w:val="nil"/>
              <w:left w:val="nil"/>
              <w:bottom w:val="single" w:sz="4" w:space="0" w:color="auto"/>
              <w:right w:val="single" w:sz="4" w:space="0" w:color="auto"/>
            </w:tcBorders>
            <w:shd w:val="clear" w:color="auto" w:fill="auto"/>
            <w:vAlign w:val="center"/>
            <w:hideMark/>
          </w:tcPr>
          <w:p w14:paraId="0A02D02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Increase in risk weighted assets</w:t>
            </w:r>
          </w:p>
        </w:tc>
        <w:tc>
          <w:tcPr>
            <w:tcW w:w="2250" w:type="dxa"/>
            <w:tcBorders>
              <w:top w:val="nil"/>
              <w:left w:val="nil"/>
              <w:bottom w:val="single" w:sz="4" w:space="0" w:color="auto"/>
              <w:right w:val="single" w:sz="4" w:space="0" w:color="auto"/>
            </w:tcBorders>
            <w:shd w:val="clear" w:color="auto" w:fill="auto"/>
            <w:vAlign w:val="center"/>
            <w:hideMark/>
          </w:tcPr>
          <w:p w14:paraId="28F7D2E4"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12A0F29C" w14:textId="77777777" w:rsidTr="00040726">
        <w:trPr>
          <w:trHeight w:val="464"/>
        </w:trPr>
        <w:tc>
          <w:tcPr>
            <w:tcW w:w="1043" w:type="dxa"/>
            <w:vMerge w:val="restart"/>
            <w:tcBorders>
              <w:top w:val="nil"/>
              <w:left w:val="single" w:sz="4" w:space="0" w:color="auto"/>
              <w:bottom w:val="single" w:sz="4" w:space="0" w:color="auto"/>
              <w:right w:val="single" w:sz="4" w:space="0" w:color="auto"/>
            </w:tcBorders>
            <w:shd w:val="clear" w:color="auto" w:fill="auto"/>
            <w:vAlign w:val="center"/>
            <w:hideMark/>
          </w:tcPr>
          <w:p w14:paraId="41126E97"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44a</w:t>
            </w:r>
          </w:p>
        </w:tc>
        <w:tc>
          <w:tcPr>
            <w:tcW w:w="6352" w:type="dxa"/>
            <w:vMerge w:val="restart"/>
            <w:tcBorders>
              <w:top w:val="nil"/>
              <w:left w:val="single" w:sz="4" w:space="0" w:color="auto"/>
              <w:bottom w:val="single" w:sz="4" w:space="0" w:color="auto"/>
              <w:right w:val="single" w:sz="4" w:space="0" w:color="auto"/>
            </w:tcBorders>
            <w:shd w:val="clear" w:color="auto" w:fill="auto"/>
            <w:vAlign w:val="center"/>
            <w:hideMark/>
          </w:tcPr>
          <w:p w14:paraId="7B2978E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Excess Additional Tier 1 capital not reckoned for capital adequacy (difference between Additional Tier 1 capital as reported in row 44 and admissible Additional Tier 1 capital as reported in 44a)</w:t>
            </w:r>
          </w:p>
        </w:tc>
        <w:tc>
          <w:tcPr>
            <w:tcW w:w="2250" w:type="dxa"/>
            <w:vMerge w:val="restart"/>
            <w:tcBorders>
              <w:top w:val="nil"/>
              <w:left w:val="single" w:sz="4" w:space="0" w:color="auto"/>
              <w:bottom w:val="single" w:sz="4" w:space="0" w:color="auto"/>
              <w:right w:val="single" w:sz="4" w:space="0" w:color="auto"/>
            </w:tcBorders>
            <w:shd w:val="clear" w:color="auto" w:fill="auto"/>
            <w:vAlign w:val="center"/>
            <w:hideMark/>
          </w:tcPr>
          <w:p w14:paraId="0111601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450E28C5" w14:textId="77777777" w:rsidTr="00040726">
        <w:trPr>
          <w:trHeight w:val="464"/>
        </w:trPr>
        <w:tc>
          <w:tcPr>
            <w:tcW w:w="1043" w:type="dxa"/>
            <w:vMerge/>
            <w:tcBorders>
              <w:top w:val="nil"/>
              <w:left w:val="single" w:sz="4" w:space="0" w:color="auto"/>
              <w:bottom w:val="single" w:sz="4" w:space="0" w:color="auto"/>
              <w:right w:val="single" w:sz="4" w:space="0" w:color="auto"/>
            </w:tcBorders>
            <w:vAlign w:val="center"/>
            <w:hideMark/>
          </w:tcPr>
          <w:p w14:paraId="4387F562"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vMerge/>
            <w:tcBorders>
              <w:top w:val="nil"/>
              <w:left w:val="single" w:sz="4" w:space="0" w:color="auto"/>
              <w:bottom w:val="single" w:sz="4" w:space="0" w:color="auto"/>
              <w:right w:val="single" w:sz="4" w:space="0" w:color="auto"/>
            </w:tcBorders>
            <w:vAlign w:val="center"/>
            <w:hideMark/>
          </w:tcPr>
          <w:p w14:paraId="51DD841C"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2250" w:type="dxa"/>
            <w:vMerge/>
            <w:tcBorders>
              <w:top w:val="nil"/>
              <w:left w:val="single" w:sz="4" w:space="0" w:color="auto"/>
              <w:bottom w:val="single" w:sz="4" w:space="0" w:color="auto"/>
              <w:right w:val="single" w:sz="4" w:space="0" w:color="auto"/>
            </w:tcBorders>
            <w:vAlign w:val="center"/>
            <w:hideMark/>
          </w:tcPr>
          <w:p w14:paraId="3A21FDB0" w14:textId="77777777" w:rsidR="004C1CA7" w:rsidRPr="001D70E9" w:rsidRDefault="004C1CA7" w:rsidP="00040726">
            <w:pPr>
              <w:overflowPunct/>
              <w:autoSpaceDE/>
              <w:autoSpaceDN/>
              <w:adjustRightInd/>
              <w:textAlignment w:val="auto"/>
              <w:rPr>
                <w:color w:val="000000"/>
                <w:sz w:val="24"/>
                <w:szCs w:val="24"/>
                <w:lang w:val="en-CA" w:eastAsia="en-CA"/>
              </w:rPr>
            </w:pPr>
          </w:p>
        </w:tc>
      </w:tr>
      <w:tr w:rsidR="004C1CA7" w:rsidRPr="001D70E9" w14:paraId="278011AF" w14:textId="77777777" w:rsidTr="00040726">
        <w:trPr>
          <w:trHeight w:val="630"/>
        </w:trPr>
        <w:tc>
          <w:tcPr>
            <w:tcW w:w="1043" w:type="dxa"/>
            <w:vMerge/>
            <w:tcBorders>
              <w:top w:val="nil"/>
              <w:left w:val="single" w:sz="4" w:space="0" w:color="auto"/>
              <w:bottom w:val="single" w:sz="4" w:space="0" w:color="auto"/>
              <w:right w:val="single" w:sz="4" w:space="0" w:color="auto"/>
            </w:tcBorders>
            <w:vAlign w:val="center"/>
            <w:hideMark/>
          </w:tcPr>
          <w:p w14:paraId="4B3EF39E"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tcBorders>
              <w:top w:val="nil"/>
              <w:left w:val="nil"/>
              <w:bottom w:val="single" w:sz="4" w:space="0" w:color="auto"/>
              <w:right w:val="single" w:sz="4" w:space="0" w:color="auto"/>
            </w:tcBorders>
            <w:shd w:val="clear" w:color="auto" w:fill="auto"/>
            <w:vAlign w:val="center"/>
            <w:hideMark/>
          </w:tcPr>
          <w:p w14:paraId="4914DD5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Excess Additional Tier 1 capital which is considered as Tier 2 capital under row 58b</w:t>
            </w:r>
          </w:p>
        </w:tc>
        <w:tc>
          <w:tcPr>
            <w:tcW w:w="2250" w:type="dxa"/>
            <w:tcBorders>
              <w:top w:val="nil"/>
              <w:left w:val="nil"/>
              <w:bottom w:val="single" w:sz="4" w:space="0" w:color="auto"/>
              <w:right w:val="single" w:sz="4" w:space="0" w:color="auto"/>
            </w:tcBorders>
            <w:shd w:val="clear" w:color="auto" w:fill="auto"/>
            <w:vAlign w:val="center"/>
            <w:hideMark/>
          </w:tcPr>
          <w:p w14:paraId="407D71B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16803B47" w14:textId="77777777" w:rsidTr="00040726">
        <w:trPr>
          <w:trHeight w:val="315"/>
        </w:trPr>
        <w:tc>
          <w:tcPr>
            <w:tcW w:w="1043" w:type="dxa"/>
            <w:vMerge w:val="restart"/>
            <w:tcBorders>
              <w:top w:val="nil"/>
              <w:left w:val="single" w:sz="4" w:space="0" w:color="auto"/>
              <w:bottom w:val="single" w:sz="4" w:space="0" w:color="auto"/>
              <w:right w:val="single" w:sz="4" w:space="0" w:color="auto"/>
            </w:tcBorders>
            <w:shd w:val="clear" w:color="auto" w:fill="auto"/>
            <w:vAlign w:val="center"/>
            <w:hideMark/>
          </w:tcPr>
          <w:p w14:paraId="773333BF"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50</w:t>
            </w:r>
          </w:p>
        </w:tc>
        <w:tc>
          <w:tcPr>
            <w:tcW w:w="6352" w:type="dxa"/>
            <w:tcBorders>
              <w:top w:val="nil"/>
              <w:left w:val="nil"/>
              <w:bottom w:val="single" w:sz="4" w:space="0" w:color="auto"/>
              <w:right w:val="single" w:sz="4" w:space="0" w:color="auto"/>
            </w:tcBorders>
            <w:shd w:val="clear" w:color="auto" w:fill="auto"/>
            <w:vAlign w:val="center"/>
            <w:hideMark/>
          </w:tcPr>
          <w:p w14:paraId="02552A0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Eligible Provisions included in Tier 2 capital</w:t>
            </w:r>
          </w:p>
        </w:tc>
        <w:tc>
          <w:tcPr>
            <w:tcW w:w="2250" w:type="dxa"/>
            <w:tcBorders>
              <w:top w:val="nil"/>
              <w:left w:val="nil"/>
              <w:bottom w:val="single" w:sz="4" w:space="0" w:color="auto"/>
              <w:right w:val="single" w:sz="4" w:space="0" w:color="auto"/>
            </w:tcBorders>
            <w:shd w:val="clear" w:color="auto" w:fill="auto"/>
            <w:vAlign w:val="center"/>
            <w:hideMark/>
          </w:tcPr>
          <w:p w14:paraId="183A7AA8" w14:textId="77777777" w:rsidR="004C1CA7" w:rsidRPr="002517D3" w:rsidRDefault="004C1CA7" w:rsidP="00040726">
            <w:pPr>
              <w:overflowPunct/>
              <w:autoSpaceDE/>
              <w:autoSpaceDN/>
              <w:adjustRightInd/>
              <w:jc w:val="right"/>
              <w:textAlignment w:val="auto"/>
              <w:rPr>
                <w:color w:val="000000"/>
                <w:sz w:val="24"/>
                <w:szCs w:val="24"/>
                <w:lang w:val="en-CA" w:eastAsia="en-CA"/>
              </w:rPr>
            </w:pPr>
            <w:r w:rsidRPr="002517D3">
              <w:rPr>
                <w:color w:val="000000"/>
                <w:sz w:val="24"/>
                <w:szCs w:val="24"/>
                <w:lang w:val="en-CA" w:eastAsia="en-CA"/>
              </w:rPr>
              <w:t xml:space="preserve">               </w:t>
            </w:r>
            <w:r>
              <w:rPr>
                <w:color w:val="000000"/>
                <w:sz w:val="24"/>
                <w:szCs w:val="24"/>
                <w:lang w:val="en-CA" w:eastAsia="en-CA"/>
              </w:rPr>
              <w:t>226,145</w:t>
            </w:r>
          </w:p>
        </w:tc>
      </w:tr>
      <w:tr w:rsidR="004C1CA7" w:rsidRPr="001D70E9" w14:paraId="50967540" w14:textId="77777777" w:rsidTr="00040726">
        <w:trPr>
          <w:trHeight w:val="315"/>
        </w:trPr>
        <w:tc>
          <w:tcPr>
            <w:tcW w:w="1043" w:type="dxa"/>
            <w:vMerge/>
            <w:tcBorders>
              <w:top w:val="nil"/>
              <w:left w:val="single" w:sz="4" w:space="0" w:color="auto"/>
              <w:bottom w:val="single" w:sz="4" w:space="0" w:color="auto"/>
              <w:right w:val="single" w:sz="4" w:space="0" w:color="auto"/>
            </w:tcBorders>
            <w:vAlign w:val="center"/>
            <w:hideMark/>
          </w:tcPr>
          <w:p w14:paraId="506EDEC5"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tcBorders>
              <w:top w:val="nil"/>
              <w:left w:val="nil"/>
              <w:bottom w:val="single" w:sz="4" w:space="0" w:color="auto"/>
              <w:right w:val="single" w:sz="4" w:space="0" w:color="auto"/>
            </w:tcBorders>
            <w:shd w:val="clear" w:color="auto" w:fill="auto"/>
            <w:vAlign w:val="center"/>
            <w:hideMark/>
          </w:tcPr>
          <w:p w14:paraId="48650C7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Eligible Revaluation Reserves included in Tier 2 capital</w:t>
            </w:r>
          </w:p>
        </w:tc>
        <w:tc>
          <w:tcPr>
            <w:tcW w:w="2250" w:type="dxa"/>
            <w:tcBorders>
              <w:top w:val="nil"/>
              <w:left w:val="nil"/>
              <w:bottom w:val="single" w:sz="4" w:space="0" w:color="auto"/>
              <w:right w:val="single" w:sz="4" w:space="0" w:color="auto"/>
            </w:tcBorders>
            <w:shd w:val="clear" w:color="auto" w:fill="auto"/>
            <w:vAlign w:val="center"/>
            <w:hideMark/>
          </w:tcPr>
          <w:p w14:paraId="679B6C4B" w14:textId="77777777" w:rsidR="004C1CA7" w:rsidRPr="002517D3" w:rsidRDefault="004C1CA7" w:rsidP="00040726">
            <w:pPr>
              <w:overflowPunct/>
              <w:autoSpaceDE/>
              <w:autoSpaceDN/>
              <w:adjustRightInd/>
              <w:jc w:val="right"/>
              <w:textAlignment w:val="auto"/>
              <w:rPr>
                <w:color w:val="000000"/>
                <w:sz w:val="24"/>
                <w:szCs w:val="24"/>
                <w:lang w:val="en-CA" w:eastAsia="en-CA"/>
              </w:rPr>
            </w:pPr>
            <w:r w:rsidRPr="002517D3">
              <w:rPr>
                <w:color w:val="000000"/>
                <w:sz w:val="24"/>
                <w:szCs w:val="24"/>
                <w:lang w:val="en-CA" w:eastAsia="en-CA"/>
              </w:rPr>
              <w:t xml:space="preserve">                </w:t>
            </w:r>
            <w:r>
              <w:rPr>
                <w:color w:val="000000"/>
                <w:sz w:val="24"/>
                <w:szCs w:val="24"/>
                <w:lang w:val="en-CA" w:eastAsia="en-CA"/>
              </w:rPr>
              <w:t>677,038</w:t>
            </w:r>
            <w:r w:rsidRPr="002517D3">
              <w:rPr>
                <w:color w:val="000000"/>
                <w:sz w:val="24"/>
                <w:szCs w:val="24"/>
                <w:lang w:val="en-CA" w:eastAsia="en-CA"/>
              </w:rPr>
              <w:t xml:space="preserve"> </w:t>
            </w:r>
          </w:p>
        </w:tc>
      </w:tr>
      <w:tr w:rsidR="004C1CA7" w:rsidRPr="001D70E9" w14:paraId="32BB9DEC" w14:textId="77777777" w:rsidTr="00040726">
        <w:trPr>
          <w:trHeight w:val="315"/>
        </w:trPr>
        <w:tc>
          <w:tcPr>
            <w:tcW w:w="1043" w:type="dxa"/>
            <w:vMerge/>
            <w:tcBorders>
              <w:top w:val="nil"/>
              <w:left w:val="single" w:sz="4" w:space="0" w:color="auto"/>
              <w:bottom w:val="single" w:sz="4" w:space="0" w:color="auto"/>
              <w:right w:val="single" w:sz="4" w:space="0" w:color="auto"/>
            </w:tcBorders>
            <w:vAlign w:val="center"/>
            <w:hideMark/>
          </w:tcPr>
          <w:p w14:paraId="371D09B1"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tcBorders>
              <w:top w:val="nil"/>
              <w:left w:val="nil"/>
              <w:bottom w:val="single" w:sz="4" w:space="0" w:color="auto"/>
              <w:right w:val="single" w:sz="4" w:space="0" w:color="auto"/>
            </w:tcBorders>
            <w:shd w:val="clear" w:color="auto" w:fill="auto"/>
            <w:vAlign w:val="center"/>
            <w:hideMark/>
          </w:tcPr>
          <w:p w14:paraId="7009A54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Total of row 50</w:t>
            </w:r>
          </w:p>
        </w:tc>
        <w:tc>
          <w:tcPr>
            <w:tcW w:w="2250" w:type="dxa"/>
            <w:tcBorders>
              <w:top w:val="nil"/>
              <w:left w:val="nil"/>
              <w:bottom w:val="single" w:sz="4" w:space="0" w:color="auto"/>
              <w:right w:val="single" w:sz="4" w:space="0" w:color="auto"/>
            </w:tcBorders>
            <w:shd w:val="clear" w:color="auto" w:fill="auto"/>
            <w:vAlign w:val="center"/>
            <w:hideMark/>
          </w:tcPr>
          <w:p w14:paraId="3D16E77E" w14:textId="77777777" w:rsidR="004C1CA7" w:rsidRPr="002517D3" w:rsidRDefault="004C1CA7" w:rsidP="00040726">
            <w:pPr>
              <w:overflowPunct/>
              <w:autoSpaceDE/>
              <w:autoSpaceDN/>
              <w:adjustRightInd/>
              <w:jc w:val="right"/>
              <w:textAlignment w:val="auto"/>
              <w:rPr>
                <w:color w:val="000000"/>
                <w:sz w:val="24"/>
                <w:szCs w:val="24"/>
                <w:lang w:val="en-CA" w:eastAsia="en-CA"/>
              </w:rPr>
            </w:pPr>
            <w:r w:rsidRPr="002517D3">
              <w:rPr>
                <w:color w:val="000000"/>
                <w:sz w:val="24"/>
                <w:szCs w:val="24"/>
                <w:lang w:val="en-CA" w:eastAsia="en-CA"/>
              </w:rPr>
              <w:t xml:space="preserve">             </w:t>
            </w:r>
            <w:r>
              <w:rPr>
                <w:color w:val="000000"/>
                <w:sz w:val="24"/>
                <w:szCs w:val="24"/>
                <w:lang w:val="en-CA" w:eastAsia="en-CA"/>
              </w:rPr>
              <w:t>903,183</w:t>
            </w:r>
          </w:p>
        </w:tc>
      </w:tr>
      <w:tr w:rsidR="004C1CA7" w:rsidRPr="001D70E9" w14:paraId="64CEE911" w14:textId="77777777" w:rsidTr="00040726">
        <w:trPr>
          <w:trHeight w:val="945"/>
        </w:trPr>
        <w:tc>
          <w:tcPr>
            <w:tcW w:w="1043" w:type="dxa"/>
            <w:tcBorders>
              <w:top w:val="nil"/>
              <w:left w:val="single" w:sz="4" w:space="0" w:color="auto"/>
              <w:bottom w:val="single" w:sz="4" w:space="0" w:color="auto"/>
              <w:right w:val="single" w:sz="4" w:space="0" w:color="auto"/>
            </w:tcBorders>
            <w:shd w:val="clear" w:color="auto" w:fill="auto"/>
            <w:vAlign w:val="center"/>
            <w:hideMark/>
          </w:tcPr>
          <w:p w14:paraId="62A635B5"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58a</w:t>
            </w:r>
          </w:p>
        </w:tc>
        <w:tc>
          <w:tcPr>
            <w:tcW w:w="6352" w:type="dxa"/>
            <w:tcBorders>
              <w:top w:val="nil"/>
              <w:left w:val="nil"/>
              <w:bottom w:val="single" w:sz="4" w:space="0" w:color="auto"/>
              <w:right w:val="single" w:sz="4" w:space="0" w:color="auto"/>
            </w:tcBorders>
            <w:shd w:val="clear" w:color="auto" w:fill="auto"/>
            <w:vAlign w:val="center"/>
            <w:hideMark/>
          </w:tcPr>
          <w:p w14:paraId="1D674BD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Excess Tier 2 capital not reckoned for capital adequacy (difference between Tier 2 capital as reported in row 58 and T2 as reported in 58a)</w:t>
            </w:r>
          </w:p>
        </w:tc>
        <w:tc>
          <w:tcPr>
            <w:tcW w:w="2250" w:type="dxa"/>
            <w:tcBorders>
              <w:top w:val="nil"/>
              <w:left w:val="nil"/>
              <w:bottom w:val="single" w:sz="4" w:space="0" w:color="auto"/>
              <w:right w:val="single" w:sz="4" w:space="0" w:color="auto"/>
            </w:tcBorders>
            <w:shd w:val="clear" w:color="auto" w:fill="auto"/>
            <w:vAlign w:val="center"/>
            <w:hideMark/>
          </w:tcPr>
          <w:p w14:paraId="1ED4CD26" w14:textId="77777777" w:rsidR="004C1CA7" w:rsidRPr="00864BAD" w:rsidRDefault="004C1CA7" w:rsidP="00040726">
            <w:pPr>
              <w:overflowPunct/>
              <w:autoSpaceDE/>
              <w:autoSpaceDN/>
              <w:adjustRightInd/>
              <w:jc w:val="right"/>
              <w:textAlignment w:val="auto"/>
              <w:rPr>
                <w:color w:val="000000"/>
                <w:sz w:val="24"/>
                <w:szCs w:val="24"/>
                <w:highlight w:val="yellow"/>
                <w:lang w:val="en-CA" w:eastAsia="en-CA"/>
              </w:rPr>
            </w:pPr>
            <w:r>
              <w:rPr>
                <w:color w:val="000000"/>
                <w:sz w:val="24"/>
                <w:szCs w:val="24"/>
                <w:lang w:val="en-CA" w:eastAsia="en-CA"/>
              </w:rPr>
              <w:t>-</w:t>
            </w:r>
          </w:p>
        </w:tc>
      </w:tr>
    </w:tbl>
    <w:p w14:paraId="70D02F34" w14:textId="77777777" w:rsidR="004C1CA7" w:rsidRPr="001D70E9" w:rsidRDefault="004C1CA7" w:rsidP="004C1CA7">
      <w:pPr>
        <w:rPr>
          <w:sz w:val="22"/>
          <w:szCs w:val="22"/>
        </w:rPr>
      </w:pPr>
    </w:p>
    <w:p w14:paraId="7DAFCBA8" w14:textId="77777777" w:rsidR="004C1CA7" w:rsidRPr="001D70E9" w:rsidRDefault="004C1CA7" w:rsidP="004C1CA7">
      <w:pPr>
        <w:rPr>
          <w:sz w:val="22"/>
          <w:szCs w:val="22"/>
        </w:rPr>
      </w:pPr>
    </w:p>
    <w:p w14:paraId="5C24F047" w14:textId="77777777" w:rsidR="004C1CA7" w:rsidRPr="001D70E9" w:rsidRDefault="004C1CA7" w:rsidP="004C1CA7">
      <w:pPr>
        <w:rPr>
          <w:b/>
          <w:sz w:val="22"/>
          <w:szCs w:val="22"/>
        </w:rPr>
      </w:pPr>
      <w:r w:rsidRPr="005F0E75">
        <w:rPr>
          <w:b/>
          <w:sz w:val="22"/>
          <w:szCs w:val="22"/>
        </w:rPr>
        <w:t>DF-12: Composition of Capital-Reconciliation requirements</w:t>
      </w:r>
    </w:p>
    <w:p w14:paraId="1022C490" w14:textId="77777777" w:rsidR="004C1CA7" w:rsidRPr="00B5774E" w:rsidRDefault="004C1CA7" w:rsidP="004C1CA7">
      <w:pPr>
        <w:ind w:left="8352"/>
        <w:rPr>
          <w:sz w:val="22"/>
          <w:szCs w:val="22"/>
        </w:rPr>
      </w:pPr>
      <w:r w:rsidRPr="00B5774E">
        <w:rPr>
          <w:color w:val="000000"/>
          <w:sz w:val="22"/>
          <w:szCs w:val="22"/>
          <w:lang w:val="en-CA" w:eastAsia="en-CA"/>
        </w:rPr>
        <w:t>(In Rs.000’s)</w:t>
      </w:r>
    </w:p>
    <w:p w14:paraId="20DB89F4" w14:textId="77777777" w:rsidR="004C1CA7" w:rsidRPr="001D70E9" w:rsidRDefault="004C1CA7" w:rsidP="004C1CA7">
      <w:pPr>
        <w:rPr>
          <w:sz w:val="22"/>
          <w:szCs w:val="22"/>
        </w:rPr>
      </w:pPr>
      <w:r w:rsidRPr="001D70E9">
        <w:rPr>
          <w:sz w:val="22"/>
          <w:szCs w:val="22"/>
        </w:rPr>
        <w:tab/>
      </w:r>
    </w:p>
    <w:tbl>
      <w:tblPr>
        <w:tblW w:w="9827" w:type="dxa"/>
        <w:tblInd w:w="93" w:type="dxa"/>
        <w:tblLayout w:type="fixed"/>
        <w:tblLook w:val="04A0" w:firstRow="1" w:lastRow="0" w:firstColumn="1" w:lastColumn="0" w:noHBand="0" w:noVBand="1"/>
      </w:tblPr>
      <w:tblGrid>
        <w:gridCol w:w="17"/>
        <w:gridCol w:w="708"/>
        <w:gridCol w:w="566"/>
        <w:gridCol w:w="74"/>
        <w:gridCol w:w="5028"/>
        <w:gridCol w:w="1797"/>
        <w:gridCol w:w="46"/>
        <w:gridCol w:w="1558"/>
        <w:gridCol w:w="33"/>
      </w:tblGrid>
      <w:tr w:rsidR="004C1CA7" w:rsidRPr="00050BD6" w14:paraId="7551A559" w14:textId="77777777" w:rsidTr="00040726">
        <w:trPr>
          <w:trHeight w:val="1298"/>
        </w:trPr>
        <w:tc>
          <w:tcPr>
            <w:tcW w:w="6393"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480D9D" w14:textId="77777777" w:rsidR="004C1CA7" w:rsidRPr="00050BD6" w:rsidRDefault="004C1CA7" w:rsidP="00040726">
            <w:pPr>
              <w:overflowPunct/>
              <w:autoSpaceDE/>
              <w:autoSpaceDN/>
              <w:adjustRightInd/>
              <w:jc w:val="center"/>
              <w:textAlignment w:val="auto"/>
              <w:rPr>
                <w:color w:val="000000"/>
                <w:sz w:val="24"/>
                <w:szCs w:val="24"/>
                <w:lang w:val="en-CA" w:eastAsia="en-CA"/>
              </w:rPr>
            </w:pPr>
            <w:r w:rsidRPr="00050BD6">
              <w:rPr>
                <w:color w:val="000000"/>
                <w:sz w:val="24"/>
                <w:szCs w:val="24"/>
                <w:lang w:val="en-CA" w:eastAsia="en-CA"/>
              </w:rPr>
              <w:t> </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643F0DCF" w14:textId="77777777" w:rsidR="004C1CA7" w:rsidRPr="00050BD6" w:rsidRDefault="004C1CA7" w:rsidP="00040726">
            <w:pPr>
              <w:overflowPunct/>
              <w:autoSpaceDE/>
              <w:autoSpaceDN/>
              <w:adjustRightInd/>
              <w:jc w:val="center"/>
              <w:textAlignment w:val="auto"/>
              <w:rPr>
                <w:b/>
                <w:bCs/>
                <w:color w:val="000000"/>
                <w:sz w:val="24"/>
                <w:szCs w:val="24"/>
                <w:lang w:val="en-CA" w:eastAsia="en-CA"/>
              </w:rPr>
            </w:pPr>
            <w:r w:rsidRPr="00050BD6">
              <w:rPr>
                <w:b/>
                <w:bCs/>
                <w:color w:val="000000"/>
                <w:sz w:val="24"/>
                <w:szCs w:val="24"/>
                <w:lang w:val="en-CA" w:eastAsia="en-CA"/>
              </w:rPr>
              <w:t>Balance sheet as in published financial statements</w:t>
            </w:r>
          </w:p>
        </w:tc>
        <w:tc>
          <w:tcPr>
            <w:tcW w:w="16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01ACDE" w14:textId="77777777" w:rsidR="004C1CA7" w:rsidRPr="00050BD6" w:rsidRDefault="004C1CA7" w:rsidP="00040726">
            <w:pPr>
              <w:overflowPunct/>
              <w:autoSpaceDE/>
              <w:autoSpaceDN/>
              <w:adjustRightInd/>
              <w:jc w:val="center"/>
              <w:textAlignment w:val="auto"/>
              <w:rPr>
                <w:b/>
                <w:bCs/>
                <w:color w:val="000000"/>
                <w:sz w:val="24"/>
                <w:szCs w:val="24"/>
                <w:lang w:val="en-CA" w:eastAsia="en-CA"/>
              </w:rPr>
            </w:pPr>
            <w:r w:rsidRPr="00050BD6">
              <w:rPr>
                <w:b/>
                <w:bCs/>
                <w:color w:val="000000"/>
                <w:sz w:val="24"/>
                <w:szCs w:val="24"/>
                <w:lang w:val="en-CA" w:eastAsia="en-CA"/>
              </w:rPr>
              <w:t>Under regulatory scope of consolidation</w:t>
            </w:r>
          </w:p>
        </w:tc>
      </w:tr>
      <w:tr w:rsidR="004C1CA7" w:rsidRPr="00050BD6" w14:paraId="329C2025" w14:textId="77777777" w:rsidTr="00040726">
        <w:trPr>
          <w:trHeight w:val="315"/>
        </w:trPr>
        <w:tc>
          <w:tcPr>
            <w:tcW w:w="6393" w:type="dxa"/>
            <w:gridSpan w:val="5"/>
            <w:vMerge/>
            <w:tcBorders>
              <w:top w:val="single" w:sz="4" w:space="0" w:color="auto"/>
              <w:left w:val="single" w:sz="4" w:space="0" w:color="auto"/>
              <w:bottom w:val="single" w:sz="4" w:space="0" w:color="auto"/>
              <w:right w:val="single" w:sz="4" w:space="0" w:color="auto"/>
            </w:tcBorders>
            <w:vAlign w:val="center"/>
            <w:hideMark/>
          </w:tcPr>
          <w:p w14:paraId="58414C54" w14:textId="77777777" w:rsidR="004C1CA7" w:rsidRPr="00050BD6" w:rsidRDefault="004C1CA7" w:rsidP="00040726">
            <w:pPr>
              <w:overflowPunct/>
              <w:autoSpaceDE/>
              <w:autoSpaceDN/>
              <w:adjustRightInd/>
              <w:textAlignment w:val="auto"/>
              <w:rPr>
                <w:color w:val="000000"/>
                <w:sz w:val="24"/>
                <w:szCs w:val="24"/>
                <w:lang w:val="en-CA" w:eastAsia="en-CA"/>
              </w:rPr>
            </w:pP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5C1A1C3D" w14:textId="77777777" w:rsidR="004C1CA7" w:rsidRPr="00050BD6" w:rsidRDefault="004C1CA7" w:rsidP="00040726">
            <w:pPr>
              <w:overflowPunct/>
              <w:autoSpaceDE/>
              <w:autoSpaceDN/>
              <w:adjustRightInd/>
              <w:jc w:val="center"/>
              <w:textAlignment w:val="auto"/>
              <w:rPr>
                <w:b/>
                <w:bCs/>
                <w:color w:val="000000"/>
                <w:sz w:val="24"/>
                <w:szCs w:val="24"/>
                <w:lang w:val="en-CA" w:eastAsia="en-CA"/>
              </w:rPr>
            </w:pPr>
            <w:r w:rsidRPr="00050BD6">
              <w:rPr>
                <w:b/>
                <w:bCs/>
                <w:color w:val="000000"/>
                <w:sz w:val="24"/>
                <w:szCs w:val="24"/>
                <w:lang w:val="en-CA" w:eastAsia="en-CA"/>
              </w:rPr>
              <w:t xml:space="preserve"> As at </w:t>
            </w:r>
            <w:proofErr w:type="gramStart"/>
            <w:r w:rsidRPr="00977291">
              <w:rPr>
                <w:b/>
                <w:sz w:val="22"/>
                <w:szCs w:val="22"/>
              </w:rPr>
              <w:t xml:space="preserve">31 </w:t>
            </w:r>
            <w:r>
              <w:rPr>
                <w:b/>
                <w:sz w:val="22"/>
                <w:szCs w:val="22"/>
              </w:rPr>
              <w:t xml:space="preserve"> </w:t>
            </w:r>
            <w:r w:rsidRPr="00977291">
              <w:rPr>
                <w:b/>
                <w:sz w:val="22"/>
                <w:szCs w:val="22"/>
              </w:rPr>
              <w:t>March</w:t>
            </w:r>
            <w:proofErr w:type="gramEnd"/>
            <w:r w:rsidRPr="00977291">
              <w:rPr>
                <w:b/>
                <w:sz w:val="22"/>
                <w:szCs w:val="22"/>
              </w:rPr>
              <w:t xml:space="preserve"> </w:t>
            </w:r>
            <w:r>
              <w:rPr>
                <w:b/>
                <w:sz w:val="22"/>
                <w:szCs w:val="22"/>
              </w:rPr>
              <w:t>2021</w:t>
            </w:r>
          </w:p>
        </w:tc>
        <w:tc>
          <w:tcPr>
            <w:tcW w:w="1637" w:type="dxa"/>
            <w:gridSpan w:val="3"/>
            <w:tcBorders>
              <w:top w:val="nil"/>
              <w:left w:val="nil"/>
              <w:bottom w:val="single" w:sz="4" w:space="0" w:color="auto"/>
              <w:right w:val="single" w:sz="4" w:space="0" w:color="auto"/>
            </w:tcBorders>
            <w:shd w:val="clear" w:color="auto" w:fill="auto"/>
            <w:vAlign w:val="center"/>
            <w:hideMark/>
          </w:tcPr>
          <w:p w14:paraId="70BA3550" w14:textId="77777777" w:rsidR="004C1CA7" w:rsidRPr="00050BD6" w:rsidRDefault="004C1CA7" w:rsidP="00040726">
            <w:pPr>
              <w:overflowPunct/>
              <w:autoSpaceDE/>
              <w:autoSpaceDN/>
              <w:adjustRightInd/>
              <w:jc w:val="center"/>
              <w:textAlignment w:val="auto"/>
              <w:rPr>
                <w:b/>
                <w:bCs/>
                <w:color w:val="000000"/>
                <w:sz w:val="24"/>
                <w:szCs w:val="24"/>
                <w:lang w:val="en-CA" w:eastAsia="en-CA"/>
              </w:rPr>
            </w:pPr>
            <w:r w:rsidRPr="00050BD6">
              <w:rPr>
                <w:b/>
                <w:bCs/>
                <w:color w:val="000000"/>
                <w:sz w:val="24"/>
                <w:szCs w:val="24"/>
                <w:lang w:val="en-CA" w:eastAsia="en-CA"/>
              </w:rPr>
              <w:t xml:space="preserve"> As at </w:t>
            </w:r>
            <w:r w:rsidRPr="00977291">
              <w:rPr>
                <w:b/>
                <w:sz w:val="22"/>
                <w:szCs w:val="22"/>
              </w:rPr>
              <w:t xml:space="preserve">31 March </w:t>
            </w:r>
            <w:r>
              <w:rPr>
                <w:b/>
                <w:sz w:val="22"/>
                <w:szCs w:val="22"/>
              </w:rPr>
              <w:t>2021</w:t>
            </w:r>
            <w:r w:rsidRPr="00050BD6">
              <w:rPr>
                <w:b/>
                <w:bCs/>
                <w:color w:val="000000"/>
                <w:sz w:val="24"/>
                <w:szCs w:val="24"/>
                <w:lang w:val="en-CA" w:eastAsia="en-CA"/>
              </w:rPr>
              <w:t xml:space="preserve"> </w:t>
            </w:r>
          </w:p>
        </w:tc>
      </w:tr>
      <w:tr w:rsidR="004C1CA7" w:rsidRPr="00977C96" w14:paraId="61FF50F0" w14:textId="77777777" w:rsidTr="00040726">
        <w:trPr>
          <w:gridBefore w:val="1"/>
          <w:gridAfter w:val="1"/>
          <w:wBefore w:w="17" w:type="dxa"/>
          <w:wAfter w:w="33" w:type="dxa"/>
          <w:trHeight w:val="309"/>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89FC71" w14:textId="77777777" w:rsidR="004C1CA7" w:rsidRPr="00977C96" w:rsidRDefault="004C1CA7" w:rsidP="00040726">
            <w:pPr>
              <w:overflowPunct/>
              <w:autoSpaceDE/>
              <w:autoSpaceDN/>
              <w:adjustRightInd/>
              <w:jc w:val="center"/>
              <w:textAlignment w:val="auto"/>
              <w:rPr>
                <w:color w:val="000000"/>
                <w:sz w:val="24"/>
                <w:szCs w:val="24"/>
                <w:lang w:val="en-CA" w:eastAsia="en-CA"/>
              </w:rPr>
            </w:pPr>
            <w:r w:rsidRPr="00977C96">
              <w:rPr>
                <w:color w:val="000000"/>
                <w:sz w:val="24"/>
                <w:szCs w:val="24"/>
                <w:lang w:val="en-CA" w:eastAsia="en-CA"/>
              </w:rPr>
              <w:t>A</w:t>
            </w:r>
          </w:p>
        </w:tc>
        <w:tc>
          <w:tcPr>
            <w:tcW w:w="5668" w:type="dxa"/>
            <w:gridSpan w:val="3"/>
            <w:tcBorders>
              <w:top w:val="single" w:sz="4" w:space="0" w:color="auto"/>
              <w:left w:val="nil"/>
              <w:bottom w:val="single" w:sz="4" w:space="0" w:color="auto"/>
              <w:right w:val="single" w:sz="4" w:space="0" w:color="auto"/>
            </w:tcBorders>
            <w:shd w:val="clear" w:color="auto" w:fill="auto"/>
            <w:vAlign w:val="center"/>
            <w:hideMark/>
          </w:tcPr>
          <w:p w14:paraId="0AA63C18" w14:textId="77777777" w:rsidR="004C1CA7" w:rsidRPr="00977C96" w:rsidRDefault="004C1CA7" w:rsidP="00040726">
            <w:pPr>
              <w:overflowPunct/>
              <w:autoSpaceDE/>
              <w:autoSpaceDN/>
              <w:adjustRightInd/>
              <w:jc w:val="center"/>
              <w:textAlignment w:val="auto"/>
              <w:rPr>
                <w:b/>
                <w:bCs/>
                <w:color w:val="000000"/>
                <w:sz w:val="24"/>
                <w:szCs w:val="24"/>
                <w:lang w:val="en-CA" w:eastAsia="en-CA"/>
              </w:rPr>
            </w:pPr>
            <w:r w:rsidRPr="00977C96">
              <w:rPr>
                <w:b/>
                <w:bCs/>
                <w:color w:val="000000"/>
                <w:sz w:val="24"/>
                <w:szCs w:val="24"/>
                <w:lang w:val="en-CA" w:eastAsia="en-CA"/>
              </w:rPr>
              <w:t>Capital &amp; Liabilities</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265C0B4F" w14:textId="77777777" w:rsidR="004C1CA7" w:rsidRPr="00977C96" w:rsidRDefault="004C1CA7" w:rsidP="00040726">
            <w:pPr>
              <w:overflowPunct/>
              <w:autoSpaceDE/>
              <w:autoSpaceDN/>
              <w:adjustRightInd/>
              <w:jc w:val="center"/>
              <w:textAlignment w:val="auto"/>
              <w:rPr>
                <w:b/>
                <w:bCs/>
                <w:color w:val="000000"/>
                <w:sz w:val="24"/>
                <w:szCs w:val="24"/>
                <w:lang w:val="en-CA" w:eastAsia="en-CA"/>
              </w:rPr>
            </w:pPr>
            <w:r w:rsidRPr="00977C96">
              <w:rPr>
                <w:b/>
                <w:bCs/>
                <w:color w:val="000000"/>
                <w:sz w:val="24"/>
                <w:szCs w:val="24"/>
                <w:lang w:val="en-CA" w:eastAsia="en-CA"/>
              </w:rPr>
              <w:t> </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14:paraId="342A9E15" w14:textId="77777777" w:rsidR="004C1CA7" w:rsidRPr="00977C96" w:rsidRDefault="004C1CA7" w:rsidP="00040726">
            <w:pPr>
              <w:overflowPunct/>
              <w:autoSpaceDE/>
              <w:autoSpaceDN/>
              <w:adjustRightInd/>
              <w:jc w:val="center"/>
              <w:textAlignment w:val="auto"/>
              <w:rPr>
                <w:b/>
                <w:bCs/>
                <w:color w:val="000000"/>
                <w:sz w:val="24"/>
                <w:szCs w:val="24"/>
                <w:lang w:val="en-CA" w:eastAsia="en-CA"/>
              </w:rPr>
            </w:pPr>
          </w:p>
        </w:tc>
      </w:tr>
      <w:tr w:rsidR="00B60EA6" w:rsidRPr="006D201D" w14:paraId="5B57D22E" w14:textId="77777777" w:rsidTr="00040726">
        <w:trPr>
          <w:gridBefore w:val="1"/>
          <w:gridAfter w:val="1"/>
          <w:wBefore w:w="17" w:type="dxa"/>
          <w:wAfter w:w="33"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1AD0E1B4"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6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A6F7A0D" w14:textId="77777777" w:rsidR="00B60EA6" w:rsidRPr="00977C96" w:rsidRDefault="00B60EA6" w:rsidP="00B60EA6">
            <w:pPr>
              <w:overflowPunct/>
              <w:autoSpaceDE/>
              <w:autoSpaceDN/>
              <w:adjustRightInd/>
              <w:jc w:val="center"/>
              <w:textAlignment w:val="auto"/>
              <w:rPr>
                <w:color w:val="000000"/>
                <w:sz w:val="24"/>
                <w:szCs w:val="24"/>
                <w:lang w:val="en-CA" w:eastAsia="en-CA"/>
              </w:rPr>
            </w:pPr>
            <w:proofErr w:type="spellStart"/>
            <w:r w:rsidRPr="00977C96">
              <w:rPr>
                <w:color w:val="000000"/>
                <w:sz w:val="24"/>
                <w:szCs w:val="24"/>
                <w:lang w:val="en-CA" w:eastAsia="en-CA"/>
              </w:rPr>
              <w:t>i</w:t>
            </w:r>
            <w:proofErr w:type="spellEnd"/>
            <w:r w:rsidRPr="00977C96">
              <w:rPr>
                <w:color w:val="000000"/>
                <w:sz w:val="24"/>
                <w:szCs w:val="24"/>
                <w:lang w:val="en-CA" w:eastAsia="en-CA"/>
              </w:rPr>
              <w:t>.</w:t>
            </w:r>
          </w:p>
        </w:tc>
        <w:tc>
          <w:tcPr>
            <w:tcW w:w="5028" w:type="dxa"/>
            <w:tcBorders>
              <w:top w:val="nil"/>
              <w:left w:val="nil"/>
              <w:bottom w:val="single" w:sz="4" w:space="0" w:color="auto"/>
              <w:right w:val="single" w:sz="4" w:space="0" w:color="auto"/>
            </w:tcBorders>
            <w:shd w:val="clear" w:color="auto" w:fill="auto"/>
            <w:vAlign w:val="center"/>
            <w:hideMark/>
          </w:tcPr>
          <w:p w14:paraId="01AA1F64" w14:textId="77777777" w:rsidR="00B60EA6" w:rsidRPr="00977C96" w:rsidRDefault="00B60EA6" w:rsidP="00B60EA6">
            <w:pPr>
              <w:overflowPunct/>
              <w:autoSpaceDE/>
              <w:autoSpaceDN/>
              <w:adjustRightInd/>
              <w:textAlignment w:val="auto"/>
              <w:rPr>
                <w:color w:val="000000"/>
                <w:sz w:val="24"/>
                <w:szCs w:val="24"/>
                <w:lang w:val="en-CA" w:eastAsia="en-CA"/>
              </w:rPr>
            </w:pPr>
            <w:r w:rsidRPr="00977C96">
              <w:rPr>
                <w:color w:val="000000"/>
                <w:sz w:val="24"/>
                <w:szCs w:val="24"/>
                <w:lang w:val="en-CA" w:eastAsia="en-CA"/>
              </w:rPr>
              <w:t>Paid-up Capital (funds from HO)</w:t>
            </w:r>
          </w:p>
        </w:tc>
        <w:tc>
          <w:tcPr>
            <w:tcW w:w="1843" w:type="dxa"/>
            <w:gridSpan w:val="2"/>
            <w:tcBorders>
              <w:top w:val="nil"/>
              <w:left w:val="nil"/>
              <w:bottom w:val="single" w:sz="4" w:space="0" w:color="auto"/>
              <w:right w:val="single" w:sz="4" w:space="0" w:color="auto"/>
            </w:tcBorders>
            <w:shd w:val="clear" w:color="auto" w:fill="auto"/>
            <w:vAlign w:val="center"/>
            <w:hideMark/>
          </w:tcPr>
          <w:p w14:paraId="7682EA8F" w14:textId="77777777" w:rsidR="00B60EA6" w:rsidRPr="00977C96" w:rsidRDefault="00B60EA6" w:rsidP="00B60EA6">
            <w:pPr>
              <w:overflowPunct/>
              <w:autoSpaceDE/>
              <w:autoSpaceDN/>
              <w:adjustRightInd/>
              <w:jc w:val="right"/>
              <w:textAlignment w:val="auto"/>
              <w:rPr>
                <w:color w:val="000000"/>
                <w:sz w:val="24"/>
                <w:szCs w:val="24"/>
                <w:lang w:val="en-CA" w:eastAsia="en-CA"/>
              </w:rPr>
            </w:pPr>
            <w:r w:rsidRPr="00977C96">
              <w:rPr>
                <w:color w:val="000000"/>
                <w:sz w:val="24"/>
                <w:szCs w:val="24"/>
                <w:lang w:val="en-CA" w:eastAsia="en-CA"/>
              </w:rPr>
              <w:t>8,394,130</w:t>
            </w:r>
          </w:p>
        </w:tc>
        <w:tc>
          <w:tcPr>
            <w:tcW w:w="1558" w:type="dxa"/>
            <w:tcBorders>
              <w:top w:val="nil"/>
              <w:left w:val="nil"/>
              <w:bottom w:val="single" w:sz="4" w:space="0" w:color="auto"/>
              <w:right w:val="single" w:sz="4" w:space="0" w:color="auto"/>
            </w:tcBorders>
            <w:shd w:val="clear" w:color="auto" w:fill="auto"/>
            <w:vAlign w:val="center"/>
            <w:hideMark/>
          </w:tcPr>
          <w:p w14:paraId="176D68BD" w14:textId="2ACD7EF6" w:rsidR="00B60EA6" w:rsidRPr="00977C96" w:rsidRDefault="00B60EA6" w:rsidP="00B60EA6">
            <w:pPr>
              <w:overflowPunct/>
              <w:autoSpaceDE/>
              <w:autoSpaceDN/>
              <w:adjustRightInd/>
              <w:jc w:val="right"/>
              <w:textAlignment w:val="auto"/>
              <w:rPr>
                <w:color w:val="000000"/>
                <w:sz w:val="24"/>
                <w:szCs w:val="24"/>
                <w:lang w:val="en-CA" w:eastAsia="en-CA"/>
              </w:rPr>
            </w:pPr>
            <w:r w:rsidRPr="00977C96">
              <w:rPr>
                <w:color w:val="000000"/>
                <w:sz w:val="24"/>
                <w:szCs w:val="24"/>
                <w:lang w:val="en-CA" w:eastAsia="en-CA"/>
              </w:rPr>
              <w:t>8,394,130</w:t>
            </w:r>
          </w:p>
        </w:tc>
      </w:tr>
      <w:tr w:rsidR="00B60EA6" w:rsidRPr="006D201D" w14:paraId="617501E0" w14:textId="77777777" w:rsidTr="00040726">
        <w:trPr>
          <w:gridBefore w:val="1"/>
          <w:gridAfter w:val="1"/>
          <w:wBefore w:w="17" w:type="dxa"/>
          <w:wAfter w:w="33"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53271F67"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1EEC9374"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74E1853B" w14:textId="77777777" w:rsidR="00B60EA6" w:rsidRPr="00977C96" w:rsidRDefault="00B60EA6" w:rsidP="00B60EA6">
            <w:pPr>
              <w:overflowPunct/>
              <w:autoSpaceDE/>
              <w:autoSpaceDN/>
              <w:adjustRightInd/>
              <w:textAlignment w:val="auto"/>
              <w:rPr>
                <w:color w:val="000000"/>
                <w:sz w:val="24"/>
                <w:szCs w:val="24"/>
                <w:lang w:val="en-CA" w:eastAsia="en-CA"/>
              </w:rPr>
            </w:pPr>
            <w:r w:rsidRPr="00977C96">
              <w:rPr>
                <w:color w:val="000000"/>
                <w:sz w:val="24"/>
                <w:szCs w:val="24"/>
                <w:lang w:val="en-CA" w:eastAsia="en-CA"/>
              </w:rPr>
              <w:t>Reserves &amp; Surplus</w:t>
            </w:r>
          </w:p>
        </w:tc>
        <w:tc>
          <w:tcPr>
            <w:tcW w:w="1843" w:type="dxa"/>
            <w:gridSpan w:val="2"/>
            <w:tcBorders>
              <w:top w:val="nil"/>
              <w:left w:val="nil"/>
              <w:bottom w:val="single" w:sz="4" w:space="0" w:color="auto"/>
              <w:right w:val="single" w:sz="4" w:space="0" w:color="auto"/>
            </w:tcBorders>
            <w:shd w:val="clear" w:color="auto" w:fill="auto"/>
            <w:vAlign w:val="center"/>
            <w:hideMark/>
          </w:tcPr>
          <w:p w14:paraId="0AC11C34" w14:textId="63493C01"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10,255,170</w:t>
            </w:r>
          </w:p>
        </w:tc>
        <w:tc>
          <w:tcPr>
            <w:tcW w:w="1558" w:type="dxa"/>
            <w:tcBorders>
              <w:top w:val="nil"/>
              <w:left w:val="nil"/>
              <w:bottom w:val="single" w:sz="4" w:space="0" w:color="auto"/>
              <w:right w:val="single" w:sz="4" w:space="0" w:color="auto"/>
            </w:tcBorders>
            <w:shd w:val="clear" w:color="auto" w:fill="auto"/>
            <w:vAlign w:val="center"/>
            <w:hideMark/>
          </w:tcPr>
          <w:p w14:paraId="2D639C6E" w14:textId="288C5F89"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10,255,170</w:t>
            </w:r>
          </w:p>
        </w:tc>
      </w:tr>
      <w:tr w:rsidR="00B60EA6" w:rsidRPr="006D201D" w14:paraId="084C856C" w14:textId="77777777" w:rsidTr="00040726">
        <w:trPr>
          <w:gridBefore w:val="1"/>
          <w:gridAfter w:val="1"/>
          <w:wBefore w:w="17" w:type="dxa"/>
          <w:wAfter w:w="33" w:type="dxa"/>
          <w:trHeight w:val="618"/>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60D5C703"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0440B9BA"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4221BCCF" w14:textId="77777777" w:rsidR="00B60EA6" w:rsidRPr="00977C96" w:rsidRDefault="00B60EA6" w:rsidP="00B60EA6">
            <w:pPr>
              <w:overflowPunct/>
              <w:autoSpaceDE/>
              <w:autoSpaceDN/>
              <w:adjustRightInd/>
              <w:textAlignment w:val="auto"/>
              <w:rPr>
                <w:color w:val="000000"/>
                <w:sz w:val="24"/>
                <w:szCs w:val="24"/>
                <w:lang w:val="en-CA" w:eastAsia="en-CA"/>
              </w:rPr>
            </w:pPr>
            <w:r w:rsidRPr="00977C96">
              <w:rPr>
                <w:color w:val="000000"/>
                <w:sz w:val="24"/>
                <w:szCs w:val="24"/>
                <w:lang w:val="en-CA" w:eastAsia="en-CA"/>
              </w:rPr>
              <w:t xml:space="preserve">of </w:t>
            </w:r>
            <w:proofErr w:type="gramStart"/>
            <w:r w:rsidRPr="00977C96">
              <w:rPr>
                <w:color w:val="000000"/>
                <w:sz w:val="24"/>
                <w:szCs w:val="24"/>
                <w:lang w:val="en-CA" w:eastAsia="en-CA"/>
              </w:rPr>
              <w:t>which :</w:t>
            </w:r>
            <w:proofErr w:type="gramEnd"/>
            <w:r w:rsidRPr="00977C96">
              <w:rPr>
                <w:color w:val="000000"/>
                <w:sz w:val="24"/>
                <w:szCs w:val="24"/>
                <w:lang w:val="en-CA" w:eastAsia="en-CA"/>
              </w:rPr>
              <w:t xml:space="preserve"> Statutory reserve,</w:t>
            </w:r>
            <w:r w:rsidRPr="006D201D">
              <w:rPr>
                <w:color w:val="000000"/>
                <w:sz w:val="24"/>
                <w:szCs w:val="24"/>
                <w:lang w:val="en-CA" w:eastAsia="en-CA"/>
              </w:rPr>
              <w:t xml:space="preserve"> </w:t>
            </w:r>
            <w:r w:rsidRPr="00977C96">
              <w:rPr>
                <w:color w:val="000000"/>
                <w:sz w:val="24"/>
                <w:szCs w:val="24"/>
                <w:lang w:val="en-CA" w:eastAsia="en-CA"/>
              </w:rPr>
              <w:t>reserve for CRAR and General reserve</w:t>
            </w:r>
          </w:p>
        </w:tc>
        <w:tc>
          <w:tcPr>
            <w:tcW w:w="1843" w:type="dxa"/>
            <w:gridSpan w:val="2"/>
            <w:tcBorders>
              <w:top w:val="nil"/>
              <w:left w:val="nil"/>
              <w:bottom w:val="single" w:sz="4" w:space="0" w:color="auto"/>
              <w:right w:val="single" w:sz="4" w:space="0" w:color="auto"/>
            </w:tcBorders>
            <w:shd w:val="clear" w:color="auto" w:fill="auto"/>
            <w:vAlign w:val="center"/>
            <w:hideMark/>
          </w:tcPr>
          <w:p w14:paraId="2355196F" w14:textId="0B8FD532"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9,129,628</w:t>
            </w:r>
          </w:p>
        </w:tc>
        <w:tc>
          <w:tcPr>
            <w:tcW w:w="1558" w:type="dxa"/>
            <w:tcBorders>
              <w:top w:val="nil"/>
              <w:left w:val="nil"/>
              <w:bottom w:val="single" w:sz="4" w:space="0" w:color="auto"/>
              <w:right w:val="single" w:sz="4" w:space="0" w:color="auto"/>
            </w:tcBorders>
            <w:shd w:val="clear" w:color="auto" w:fill="auto"/>
            <w:vAlign w:val="center"/>
            <w:hideMark/>
          </w:tcPr>
          <w:p w14:paraId="12BD6EB3" w14:textId="2C39DF24"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9,129,628</w:t>
            </w:r>
          </w:p>
        </w:tc>
      </w:tr>
      <w:tr w:rsidR="00B60EA6" w:rsidRPr="006D201D" w14:paraId="40679CFC" w14:textId="77777777" w:rsidTr="00040726">
        <w:trPr>
          <w:gridBefore w:val="1"/>
          <w:gridAfter w:val="1"/>
          <w:wBefore w:w="17" w:type="dxa"/>
          <w:wAfter w:w="33"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7AA74324"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7DC7C425"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73BCBA3F" w14:textId="77777777" w:rsidR="00B60EA6" w:rsidRPr="00977C96" w:rsidRDefault="00B60EA6" w:rsidP="00B60EA6">
            <w:pPr>
              <w:overflowPunct/>
              <w:autoSpaceDE/>
              <w:autoSpaceDN/>
              <w:adjustRightInd/>
              <w:textAlignment w:val="auto"/>
              <w:rPr>
                <w:color w:val="000000"/>
                <w:sz w:val="24"/>
                <w:szCs w:val="24"/>
                <w:lang w:val="en-CA" w:eastAsia="en-CA"/>
              </w:rPr>
            </w:pPr>
            <w:r w:rsidRPr="00977C96">
              <w:rPr>
                <w:color w:val="000000"/>
                <w:sz w:val="24"/>
                <w:szCs w:val="24"/>
                <w:lang w:val="en-CA" w:eastAsia="en-CA"/>
              </w:rPr>
              <w:t>of which investment reserve</w:t>
            </w:r>
          </w:p>
        </w:tc>
        <w:tc>
          <w:tcPr>
            <w:tcW w:w="1843" w:type="dxa"/>
            <w:gridSpan w:val="2"/>
            <w:tcBorders>
              <w:top w:val="nil"/>
              <w:left w:val="nil"/>
              <w:bottom w:val="single" w:sz="4" w:space="0" w:color="auto"/>
              <w:right w:val="single" w:sz="4" w:space="0" w:color="auto"/>
            </w:tcBorders>
            <w:shd w:val="clear" w:color="auto" w:fill="auto"/>
            <w:vAlign w:val="center"/>
            <w:hideMark/>
          </w:tcPr>
          <w:p w14:paraId="2A41F800" w14:textId="27F2A90C"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677,038</w:t>
            </w:r>
          </w:p>
        </w:tc>
        <w:tc>
          <w:tcPr>
            <w:tcW w:w="1558" w:type="dxa"/>
            <w:tcBorders>
              <w:top w:val="nil"/>
              <w:left w:val="nil"/>
              <w:bottom w:val="single" w:sz="4" w:space="0" w:color="auto"/>
              <w:right w:val="single" w:sz="4" w:space="0" w:color="auto"/>
            </w:tcBorders>
            <w:shd w:val="clear" w:color="auto" w:fill="auto"/>
            <w:vAlign w:val="center"/>
            <w:hideMark/>
          </w:tcPr>
          <w:p w14:paraId="3FD3EE3E" w14:textId="43322FC9"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677,038</w:t>
            </w:r>
          </w:p>
        </w:tc>
      </w:tr>
      <w:tr w:rsidR="00B60EA6" w:rsidRPr="006D201D" w14:paraId="33CA5AC6" w14:textId="77777777" w:rsidTr="00040726">
        <w:trPr>
          <w:gridBefore w:val="1"/>
          <w:gridAfter w:val="1"/>
          <w:wBefore w:w="17" w:type="dxa"/>
          <w:wAfter w:w="33"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61FE4EEE"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7426E310"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12E1DE84" w14:textId="77777777" w:rsidR="00B60EA6" w:rsidRPr="00977C96" w:rsidRDefault="00B60EA6" w:rsidP="00B60EA6">
            <w:pPr>
              <w:overflowPunct/>
              <w:autoSpaceDE/>
              <w:autoSpaceDN/>
              <w:adjustRightInd/>
              <w:textAlignment w:val="auto"/>
              <w:rPr>
                <w:color w:val="000000"/>
                <w:sz w:val="24"/>
                <w:szCs w:val="24"/>
                <w:lang w:val="en-CA" w:eastAsia="en-CA"/>
              </w:rPr>
            </w:pPr>
            <w:r w:rsidRPr="00977C96">
              <w:rPr>
                <w:color w:val="000000"/>
                <w:sz w:val="24"/>
                <w:szCs w:val="24"/>
                <w:lang w:val="en-CA" w:eastAsia="en-CA"/>
              </w:rPr>
              <w:t xml:space="preserve">of which </w:t>
            </w:r>
            <w:r>
              <w:rPr>
                <w:color w:val="000000"/>
                <w:sz w:val="24"/>
                <w:szCs w:val="24"/>
                <w:lang w:val="en-CA" w:eastAsia="en-CA"/>
              </w:rPr>
              <w:t>balance in profit and loss account</w:t>
            </w:r>
          </w:p>
        </w:tc>
        <w:tc>
          <w:tcPr>
            <w:tcW w:w="1843" w:type="dxa"/>
            <w:gridSpan w:val="2"/>
            <w:tcBorders>
              <w:top w:val="nil"/>
              <w:left w:val="nil"/>
              <w:bottom w:val="single" w:sz="4" w:space="0" w:color="auto"/>
              <w:right w:val="single" w:sz="4" w:space="0" w:color="auto"/>
            </w:tcBorders>
            <w:shd w:val="clear" w:color="auto" w:fill="auto"/>
            <w:vAlign w:val="center"/>
            <w:hideMark/>
          </w:tcPr>
          <w:p w14:paraId="7E22319C" w14:textId="234BE895"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448,504</w:t>
            </w:r>
          </w:p>
        </w:tc>
        <w:tc>
          <w:tcPr>
            <w:tcW w:w="1558" w:type="dxa"/>
            <w:tcBorders>
              <w:top w:val="nil"/>
              <w:left w:val="nil"/>
              <w:bottom w:val="single" w:sz="4" w:space="0" w:color="auto"/>
              <w:right w:val="single" w:sz="4" w:space="0" w:color="auto"/>
            </w:tcBorders>
            <w:shd w:val="clear" w:color="auto" w:fill="auto"/>
            <w:vAlign w:val="center"/>
            <w:hideMark/>
          </w:tcPr>
          <w:p w14:paraId="00D62EB4" w14:textId="77600556"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448,504</w:t>
            </w:r>
          </w:p>
        </w:tc>
      </w:tr>
      <w:tr w:rsidR="00B60EA6" w:rsidRPr="006D201D" w14:paraId="302CE474" w14:textId="77777777" w:rsidTr="00040726">
        <w:trPr>
          <w:gridBefore w:val="1"/>
          <w:gridAfter w:val="1"/>
          <w:wBefore w:w="17" w:type="dxa"/>
          <w:wAfter w:w="33"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75093E49"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7EA7727C"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78E0004C" w14:textId="77777777" w:rsidR="00B60EA6" w:rsidRPr="00977C96" w:rsidRDefault="00B60EA6" w:rsidP="00B60EA6">
            <w:pPr>
              <w:overflowPunct/>
              <w:autoSpaceDE/>
              <w:autoSpaceDN/>
              <w:adjustRightInd/>
              <w:textAlignment w:val="auto"/>
              <w:rPr>
                <w:color w:val="000000"/>
                <w:sz w:val="24"/>
                <w:szCs w:val="24"/>
                <w:lang w:val="en-CA" w:eastAsia="en-CA"/>
              </w:rPr>
            </w:pPr>
            <w:r w:rsidRPr="00977C96">
              <w:rPr>
                <w:color w:val="000000"/>
                <w:sz w:val="24"/>
                <w:szCs w:val="24"/>
                <w:lang w:val="en-CA" w:eastAsia="en-CA"/>
              </w:rPr>
              <w:t>Total Capital</w:t>
            </w:r>
          </w:p>
        </w:tc>
        <w:tc>
          <w:tcPr>
            <w:tcW w:w="1843" w:type="dxa"/>
            <w:gridSpan w:val="2"/>
            <w:tcBorders>
              <w:top w:val="nil"/>
              <w:left w:val="nil"/>
              <w:bottom w:val="single" w:sz="4" w:space="0" w:color="auto"/>
              <w:right w:val="single" w:sz="4" w:space="0" w:color="auto"/>
            </w:tcBorders>
            <w:shd w:val="clear" w:color="auto" w:fill="auto"/>
            <w:vAlign w:val="center"/>
            <w:hideMark/>
          </w:tcPr>
          <w:p w14:paraId="44784A30" w14:textId="322670F3"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18,649,300</w:t>
            </w:r>
          </w:p>
        </w:tc>
        <w:tc>
          <w:tcPr>
            <w:tcW w:w="1558" w:type="dxa"/>
            <w:tcBorders>
              <w:top w:val="nil"/>
              <w:left w:val="nil"/>
              <w:bottom w:val="single" w:sz="4" w:space="0" w:color="auto"/>
              <w:right w:val="single" w:sz="4" w:space="0" w:color="auto"/>
            </w:tcBorders>
            <w:shd w:val="clear" w:color="auto" w:fill="auto"/>
            <w:vAlign w:val="center"/>
            <w:hideMark/>
          </w:tcPr>
          <w:p w14:paraId="55C2E08A" w14:textId="39B9B3D9"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18,649,300</w:t>
            </w:r>
          </w:p>
        </w:tc>
      </w:tr>
      <w:tr w:rsidR="00B60EA6" w:rsidRPr="006D201D" w14:paraId="35F6F474" w14:textId="77777777" w:rsidTr="00040726">
        <w:trPr>
          <w:gridBefore w:val="1"/>
          <w:gridAfter w:val="1"/>
          <w:wBefore w:w="17" w:type="dxa"/>
          <w:wAfter w:w="33"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4544F335"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6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1331385" w14:textId="77777777" w:rsidR="00B60EA6" w:rsidRPr="00977C96" w:rsidRDefault="00B60EA6" w:rsidP="00B60EA6">
            <w:pPr>
              <w:overflowPunct/>
              <w:autoSpaceDE/>
              <w:autoSpaceDN/>
              <w:adjustRightInd/>
              <w:jc w:val="center"/>
              <w:textAlignment w:val="auto"/>
              <w:rPr>
                <w:color w:val="000000"/>
                <w:sz w:val="24"/>
                <w:szCs w:val="24"/>
                <w:lang w:val="en-CA" w:eastAsia="en-CA"/>
              </w:rPr>
            </w:pPr>
            <w:r w:rsidRPr="00977C96">
              <w:rPr>
                <w:color w:val="000000"/>
                <w:sz w:val="24"/>
                <w:szCs w:val="24"/>
                <w:lang w:val="en-CA" w:eastAsia="en-CA"/>
              </w:rPr>
              <w:t>ii.</w:t>
            </w:r>
          </w:p>
        </w:tc>
        <w:tc>
          <w:tcPr>
            <w:tcW w:w="5028" w:type="dxa"/>
            <w:tcBorders>
              <w:top w:val="nil"/>
              <w:left w:val="nil"/>
              <w:bottom w:val="single" w:sz="4" w:space="0" w:color="auto"/>
              <w:right w:val="single" w:sz="4" w:space="0" w:color="auto"/>
            </w:tcBorders>
            <w:shd w:val="clear" w:color="auto" w:fill="auto"/>
            <w:vAlign w:val="center"/>
            <w:hideMark/>
          </w:tcPr>
          <w:p w14:paraId="1F8091F0" w14:textId="77777777" w:rsidR="00B60EA6" w:rsidRPr="00977C96" w:rsidRDefault="00B60EA6" w:rsidP="00B60EA6">
            <w:pPr>
              <w:overflowPunct/>
              <w:autoSpaceDE/>
              <w:autoSpaceDN/>
              <w:adjustRightInd/>
              <w:textAlignment w:val="auto"/>
              <w:rPr>
                <w:color w:val="000000"/>
                <w:sz w:val="24"/>
                <w:szCs w:val="24"/>
                <w:lang w:val="en-CA" w:eastAsia="en-CA"/>
              </w:rPr>
            </w:pPr>
            <w:r w:rsidRPr="00977C96">
              <w:rPr>
                <w:color w:val="000000"/>
                <w:sz w:val="24"/>
                <w:szCs w:val="24"/>
                <w:lang w:val="en-CA" w:eastAsia="en-CA"/>
              </w:rPr>
              <w:t>Deposits</w:t>
            </w:r>
          </w:p>
        </w:tc>
        <w:tc>
          <w:tcPr>
            <w:tcW w:w="1843" w:type="dxa"/>
            <w:gridSpan w:val="2"/>
            <w:tcBorders>
              <w:top w:val="nil"/>
              <w:left w:val="nil"/>
              <w:bottom w:val="single" w:sz="4" w:space="0" w:color="auto"/>
              <w:right w:val="single" w:sz="4" w:space="0" w:color="auto"/>
            </w:tcBorders>
            <w:shd w:val="clear" w:color="auto" w:fill="auto"/>
            <w:vAlign w:val="center"/>
            <w:hideMark/>
          </w:tcPr>
          <w:p w14:paraId="226B55A5" w14:textId="07C7E56F"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30,111,370</w:t>
            </w:r>
          </w:p>
        </w:tc>
        <w:tc>
          <w:tcPr>
            <w:tcW w:w="1558" w:type="dxa"/>
            <w:tcBorders>
              <w:top w:val="nil"/>
              <w:left w:val="nil"/>
              <w:bottom w:val="single" w:sz="4" w:space="0" w:color="auto"/>
              <w:right w:val="single" w:sz="4" w:space="0" w:color="auto"/>
            </w:tcBorders>
            <w:shd w:val="clear" w:color="auto" w:fill="auto"/>
            <w:vAlign w:val="center"/>
            <w:hideMark/>
          </w:tcPr>
          <w:p w14:paraId="0AC1556D" w14:textId="2BB8F521"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30,111,370</w:t>
            </w:r>
          </w:p>
        </w:tc>
      </w:tr>
      <w:tr w:rsidR="00B60EA6" w:rsidRPr="006D201D" w14:paraId="6908B52D" w14:textId="77777777" w:rsidTr="00040726">
        <w:trPr>
          <w:gridBefore w:val="1"/>
          <w:gridAfter w:val="1"/>
          <w:wBefore w:w="17" w:type="dxa"/>
          <w:wAfter w:w="33"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5E0CCAA9"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2BC7A6B0"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255279FE" w14:textId="77777777" w:rsidR="00B60EA6" w:rsidRPr="00977C96" w:rsidRDefault="00B60EA6" w:rsidP="00B60EA6">
            <w:pPr>
              <w:overflowPunct/>
              <w:autoSpaceDE/>
              <w:autoSpaceDN/>
              <w:adjustRightInd/>
              <w:textAlignment w:val="auto"/>
              <w:rPr>
                <w:color w:val="000000"/>
                <w:sz w:val="24"/>
                <w:szCs w:val="24"/>
                <w:lang w:val="en-CA" w:eastAsia="en-CA"/>
              </w:rPr>
            </w:pPr>
            <w:r w:rsidRPr="00977C96">
              <w:rPr>
                <w:color w:val="000000"/>
                <w:sz w:val="24"/>
                <w:szCs w:val="24"/>
                <w:lang w:val="en-CA" w:eastAsia="en-CA"/>
              </w:rPr>
              <w:t xml:space="preserve">of </w:t>
            </w:r>
            <w:proofErr w:type="gramStart"/>
            <w:r w:rsidRPr="00977C96">
              <w:rPr>
                <w:color w:val="000000"/>
                <w:sz w:val="24"/>
                <w:szCs w:val="24"/>
                <w:lang w:val="en-CA" w:eastAsia="en-CA"/>
              </w:rPr>
              <w:t>which :</w:t>
            </w:r>
            <w:proofErr w:type="gramEnd"/>
            <w:r w:rsidRPr="00977C96">
              <w:rPr>
                <w:color w:val="000000"/>
                <w:sz w:val="24"/>
                <w:szCs w:val="24"/>
                <w:lang w:val="en-CA" w:eastAsia="en-CA"/>
              </w:rPr>
              <w:t xml:space="preserve"> Deposits from banks</w:t>
            </w:r>
          </w:p>
        </w:tc>
        <w:tc>
          <w:tcPr>
            <w:tcW w:w="1843" w:type="dxa"/>
            <w:gridSpan w:val="2"/>
            <w:tcBorders>
              <w:top w:val="nil"/>
              <w:left w:val="nil"/>
              <w:bottom w:val="single" w:sz="4" w:space="0" w:color="auto"/>
              <w:right w:val="single" w:sz="4" w:space="0" w:color="auto"/>
            </w:tcBorders>
            <w:shd w:val="clear" w:color="auto" w:fill="auto"/>
            <w:vAlign w:val="center"/>
            <w:hideMark/>
          </w:tcPr>
          <w:p w14:paraId="681EC6C2" w14:textId="1AB98DEC"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31,236</w:t>
            </w:r>
          </w:p>
        </w:tc>
        <w:tc>
          <w:tcPr>
            <w:tcW w:w="1558" w:type="dxa"/>
            <w:tcBorders>
              <w:top w:val="nil"/>
              <w:left w:val="nil"/>
              <w:bottom w:val="single" w:sz="4" w:space="0" w:color="auto"/>
              <w:right w:val="single" w:sz="4" w:space="0" w:color="auto"/>
            </w:tcBorders>
            <w:shd w:val="clear" w:color="auto" w:fill="auto"/>
            <w:vAlign w:val="center"/>
            <w:hideMark/>
          </w:tcPr>
          <w:p w14:paraId="7FBBF73C" w14:textId="71A0BA18"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31,236</w:t>
            </w:r>
          </w:p>
        </w:tc>
      </w:tr>
      <w:tr w:rsidR="00B60EA6" w:rsidRPr="006D201D" w14:paraId="1BDAD15F" w14:textId="77777777" w:rsidTr="00040726">
        <w:trPr>
          <w:gridBefore w:val="1"/>
          <w:gridAfter w:val="1"/>
          <w:wBefore w:w="17" w:type="dxa"/>
          <w:wAfter w:w="33"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0E1B6D45"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4D3BB573"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06ACDE43" w14:textId="77777777" w:rsidR="00B60EA6" w:rsidRPr="00977C96" w:rsidRDefault="00B60EA6" w:rsidP="00B60EA6">
            <w:pPr>
              <w:overflowPunct/>
              <w:autoSpaceDE/>
              <w:autoSpaceDN/>
              <w:adjustRightInd/>
              <w:textAlignment w:val="auto"/>
              <w:rPr>
                <w:color w:val="000000"/>
                <w:sz w:val="24"/>
                <w:szCs w:val="24"/>
                <w:lang w:val="en-CA" w:eastAsia="en-CA"/>
              </w:rPr>
            </w:pPr>
            <w:r w:rsidRPr="00977C96">
              <w:rPr>
                <w:color w:val="000000"/>
                <w:sz w:val="24"/>
                <w:szCs w:val="24"/>
                <w:lang w:val="en-CA" w:eastAsia="en-CA"/>
              </w:rPr>
              <w:t xml:space="preserve">of </w:t>
            </w:r>
            <w:proofErr w:type="gramStart"/>
            <w:r w:rsidRPr="00977C96">
              <w:rPr>
                <w:color w:val="000000"/>
                <w:sz w:val="24"/>
                <w:szCs w:val="24"/>
                <w:lang w:val="en-CA" w:eastAsia="en-CA"/>
              </w:rPr>
              <w:t>which :</w:t>
            </w:r>
            <w:proofErr w:type="gramEnd"/>
            <w:r w:rsidRPr="00977C96">
              <w:rPr>
                <w:color w:val="000000"/>
                <w:sz w:val="24"/>
                <w:szCs w:val="24"/>
                <w:lang w:val="en-CA" w:eastAsia="en-CA"/>
              </w:rPr>
              <w:t xml:space="preserve"> Customer deposits</w:t>
            </w:r>
          </w:p>
        </w:tc>
        <w:tc>
          <w:tcPr>
            <w:tcW w:w="1843" w:type="dxa"/>
            <w:gridSpan w:val="2"/>
            <w:tcBorders>
              <w:top w:val="nil"/>
              <w:left w:val="nil"/>
              <w:bottom w:val="single" w:sz="4" w:space="0" w:color="auto"/>
              <w:right w:val="single" w:sz="4" w:space="0" w:color="auto"/>
            </w:tcBorders>
            <w:shd w:val="clear" w:color="auto" w:fill="auto"/>
            <w:vAlign w:val="center"/>
            <w:hideMark/>
          </w:tcPr>
          <w:p w14:paraId="30D76FE1" w14:textId="5B864BDB"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30,080,134</w:t>
            </w:r>
          </w:p>
        </w:tc>
        <w:tc>
          <w:tcPr>
            <w:tcW w:w="1558" w:type="dxa"/>
            <w:tcBorders>
              <w:top w:val="nil"/>
              <w:left w:val="nil"/>
              <w:bottom w:val="single" w:sz="4" w:space="0" w:color="auto"/>
              <w:right w:val="single" w:sz="4" w:space="0" w:color="auto"/>
            </w:tcBorders>
            <w:shd w:val="clear" w:color="auto" w:fill="auto"/>
            <w:vAlign w:val="center"/>
            <w:hideMark/>
          </w:tcPr>
          <w:p w14:paraId="53EBE5C6" w14:textId="3E101305"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30,080,134</w:t>
            </w:r>
          </w:p>
        </w:tc>
      </w:tr>
      <w:tr w:rsidR="00B60EA6" w:rsidRPr="006D201D" w14:paraId="36CE6851" w14:textId="77777777" w:rsidTr="00040726">
        <w:trPr>
          <w:gridBefore w:val="1"/>
          <w:gridAfter w:val="1"/>
          <w:wBefore w:w="17" w:type="dxa"/>
          <w:wAfter w:w="33"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349EE754"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4F1D55BC"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336EED6E" w14:textId="77777777" w:rsidR="00B60EA6" w:rsidRPr="00977C96" w:rsidRDefault="00B60EA6" w:rsidP="00B60EA6">
            <w:pPr>
              <w:overflowPunct/>
              <w:autoSpaceDE/>
              <w:autoSpaceDN/>
              <w:adjustRightInd/>
              <w:textAlignment w:val="auto"/>
              <w:rPr>
                <w:color w:val="000000"/>
                <w:sz w:val="24"/>
                <w:szCs w:val="24"/>
                <w:lang w:val="en-CA" w:eastAsia="en-CA"/>
              </w:rPr>
            </w:pPr>
            <w:r w:rsidRPr="00977C96">
              <w:rPr>
                <w:color w:val="000000"/>
                <w:sz w:val="24"/>
                <w:szCs w:val="24"/>
                <w:lang w:val="en-CA" w:eastAsia="en-CA"/>
              </w:rPr>
              <w:t xml:space="preserve">of </w:t>
            </w:r>
            <w:proofErr w:type="gramStart"/>
            <w:r w:rsidRPr="00977C96">
              <w:rPr>
                <w:color w:val="000000"/>
                <w:sz w:val="24"/>
                <w:szCs w:val="24"/>
                <w:lang w:val="en-CA" w:eastAsia="en-CA"/>
              </w:rPr>
              <w:t>which :</w:t>
            </w:r>
            <w:proofErr w:type="gramEnd"/>
            <w:r w:rsidRPr="00977C96">
              <w:rPr>
                <w:color w:val="000000"/>
                <w:sz w:val="24"/>
                <w:szCs w:val="24"/>
                <w:lang w:val="en-CA" w:eastAsia="en-CA"/>
              </w:rPr>
              <w:t xml:space="preserve"> Other deposits (pl. specify)</w:t>
            </w:r>
          </w:p>
        </w:tc>
        <w:tc>
          <w:tcPr>
            <w:tcW w:w="1843" w:type="dxa"/>
            <w:gridSpan w:val="2"/>
            <w:tcBorders>
              <w:top w:val="nil"/>
              <w:left w:val="nil"/>
              <w:bottom w:val="single" w:sz="4" w:space="0" w:color="auto"/>
              <w:right w:val="single" w:sz="4" w:space="0" w:color="auto"/>
            </w:tcBorders>
            <w:shd w:val="clear" w:color="auto" w:fill="auto"/>
            <w:vAlign w:val="center"/>
            <w:hideMark/>
          </w:tcPr>
          <w:p w14:paraId="41977086" w14:textId="77777777" w:rsidR="00B60EA6" w:rsidRPr="00977C96" w:rsidRDefault="00B60EA6" w:rsidP="00B60EA6">
            <w:pPr>
              <w:overflowPunct/>
              <w:autoSpaceDE/>
              <w:autoSpaceDN/>
              <w:adjustRightInd/>
              <w:jc w:val="right"/>
              <w:textAlignment w:val="auto"/>
              <w:rPr>
                <w:color w:val="000000"/>
                <w:sz w:val="24"/>
                <w:szCs w:val="24"/>
                <w:lang w:val="en-CA" w:eastAsia="en-CA"/>
              </w:rPr>
            </w:pPr>
            <w:r w:rsidRPr="00977C96">
              <w:rPr>
                <w:color w:val="000000"/>
                <w:sz w:val="24"/>
                <w:szCs w:val="24"/>
                <w:lang w:val="en-CA" w:eastAsia="en-CA"/>
              </w:rPr>
              <w:t xml:space="preserve">  -   </w:t>
            </w:r>
          </w:p>
        </w:tc>
        <w:tc>
          <w:tcPr>
            <w:tcW w:w="1558" w:type="dxa"/>
            <w:tcBorders>
              <w:top w:val="nil"/>
              <w:left w:val="nil"/>
              <w:bottom w:val="single" w:sz="4" w:space="0" w:color="auto"/>
              <w:right w:val="single" w:sz="4" w:space="0" w:color="auto"/>
            </w:tcBorders>
            <w:shd w:val="clear" w:color="auto" w:fill="auto"/>
            <w:vAlign w:val="center"/>
            <w:hideMark/>
          </w:tcPr>
          <w:p w14:paraId="69C49D2B" w14:textId="09B67AAA" w:rsidR="00B60EA6" w:rsidRPr="00977C96" w:rsidRDefault="00B60EA6" w:rsidP="00B60EA6">
            <w:pPr>
              <w:overflowPunct/>
              <w:autoSpaceDE/>
              <w:autoSpaceDN/>
              <w:adjustRightInd/>
              <w:jc w:val="right"/>
              <w:textAlignment w:val="auto"/>
              <w:rPr>
                <w:color w:val="000000"/>
                <w:sz w:val="24"/>
                <w:szCs w:val="24"/>
                <w:lang w:val="en-CA" w:eastAsia="en-CA"/>
              </w:rPr>
            </w:pPr>
            <w:r w:rsidRPr="00977C96">
              <w:rPr>
                <w:color w:val="000000"/>
                <w:sz w:val="24"/>
                <w:szCs w:val="24"/>
                <w:lang w:val="en-CA" w:eastAsia="en-CA"/>
              </w:rPr>
              <w:t xml:space="preserve">  -   </w:t>
            </w:r>
          </w:p>
        </w:tc>
      </w:tr>
      <w:tr w:rsidR="00B60EA6" w:rsidRPr="006D201D" w14:paraId="7C6210B2" w14:textId="77777777" w:rsidTr="00040726">
        <w:trPr>
          <w:gridBefore w:val="1"/>
          <w:gridAfter w:val="1"/>
          <w:wBefore w:w="17" w:type="dxa"/>
          <w:wAfter w:w="33"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2784C245"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6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B1D988D" w14:textId="77777777" w:rsidR="00B60EA6" w:rsidRPr="00977C96" w:rsidRDefault="00B60EA6" w:rsidP="00B60EA6">
            <w:pPr>
              <w:overflowPunct/>
              <w:autoSpaceDE/>
              <w:autoSpaceDN/>
              <w:adjustRightInd/>
              <w:jc w:val="center"/>
              <w:textAlignment w:val="auto"/>
              <w:rPr>
                <w:color w:val="000000"/>
                <w:sz w:val="24"/>
                <w:szCs w:val="24"/>
                <w:lang w:val="en-CA" w:eastAsia="en-CA"/>
              </w:rPr>
            </w:pPr>
            <w:r w:rsidRPr="00977C96">
              <w:rPr>
                <w:color w:val="000000"/>
                <w:sz w:val="24"/>
                <w:szCs w:val="24"/>
                <w:lang w:val="en-CA" w:eastAsia="en-CA"/>
              </w:rPr>
              <w:t>iii.</w:t>
            </w:r>
          </w:p>
        </w:tc>
        <w:tc>
          <w:tcPr>
            <w:tcW w:w="5028" w:type="dxa"/>
            <w:tcBorders>
              <w:top w:val="nil"/>
              <w:left w:val="nil"/>
              <w:bottom w:val="single" w:sz="4" w:space="0" w:color="auto"/>
              <w:right w:val="single" w:sz="4" w:space="0" w:color="auto"/>
            </w:tcBorders>
            <w:shd w:val="clear" w:color="auto" w:fill="auto"/>
            <w:vAlign w:val="center"/>
            <w:hideMark/>
          </w:tcPr>
          <w:p w14:paraId="297217A4" w14:textId="77777777" w:rsidR="00B60EA6" w:rsidRPr="00977C96" w:rsidRDefault="00B60EA6" w:rsidP="00B60EA6">
            <w:pPr>
              <w:overflowPunct/>
              <w:autoSpaceDE/>
              <w:autoSpaceDN/>
              <w:adjustRightInd/>
              <w:textAlignment w:val="auto"/>
              <w:rPr>
                <w:color w:val="000000"/>
                <w:sz w:val="24"/>
                <w:szCs w:val="24"/>
                <w:lang w:val="en-CA" w:eastAsia="en-CA"/>
              </w:rPr>
            </w:pPr>
            <w:r w:rsidRPr="00977C96">
              <w:rPr>
                <w:color w:val="000000"/>
                <w:sz w:val="24"/>
                <w:szCs w:val="24"/>
                <w:lang w:val="en-CA" w:eastAsia="en-CA"/>
              </w:rPr>
              <w:t>Borrowings</w:t>
            </w:r>
          </w:p>
        </w:tc>
        <w:tc>
          <w:tcPr>
            <w:tcW w:w="1843" w:type="dxa"/>
            <w:gridSpan w:val="2"/>
            <w:tcBorders>
              <w:top w:val="nil"/>
              <w:left w:val="nil"/>
              <w:bottom w:val="single" w:sz="4" w:space="0" w:color="auto"/>
              <w:right w:val="single" w:sz="4" w:space="0" w:color="auto"/>
            </w:tcBorders>
            <w:shd w:val="clear" w:color="auto" w:fill="auto"/>
            <w:vAlign w:val="center"/>
            <w:hideMark/>
          </w:tcPr>
          <w:p w14:paraId="1901ADD2" w14:textId="3D65C8DE"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316,089</w:t>
            </w:r>
            <w:r w:rsidRPr="00977C96">
              <w:rPr>
                <w:color w:val="000000"/>
                <w:sz w:val="24"/>
                <w:szCs w:val="24"/>
                <w:lang w:val="en-CA" w:eastAsia="en-CA"/>
              </w:rPr>
              <w:t xml:space="preserve"> </w:t>
            </w:r>
          </w:p>
        </w:tc>
        <w:tc>
          <w:tcPr>
            <w:tcW w:w="1558" w:type="dxa"/>
            <w:tcBorders>
              <w:top w:val="nil"/>
              <w:left w:val="nil"/>
              <w:bottom w:val="single" w:sz="4" w:space="0" w:color="auto"/>
              <w:right w:val="single" w:sz="4" w:space="0" w:color="auto"/>
            </w:tcBorders>
            <w:shd w:val="clear" w:color="auto" w:fill="auto"/>
            <w:vAlign w:val="center"/>
            <w:hideMark/>
          </w:tcPr>
          <w:p w14:paraId="70761073" w14:textId="02728188"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316,089</w:t>
            </w:r>
            <w:r w:rsidRPr="00977C96">
              <w:rPr>
                <w:color w:val="000000"/>
                <w:sz w:val="24"/>
                <w:szCs w:val="24"/>
                <w:lang w:val="en-CA" w:eastAsia="en-CA"/>
              </w:rPr>
              <w:t xml:space="preserve"> </w:t>
            </w:r>
          </w:p>
        </w:tc>
      </w:tr>
      <w:tr w:rsidR="00B60EA6" w:rsidRPr="006D201D" w14:paraId="1A11CAAC" w14:textId="77777777" w:rsidTr="00040726">
        <w:trPr>
          <w:gridBefore w:val="1"/>
          <w:gridAfter w:val="1"/>
          <w:wBefore w:w="17" w:type="dxa"/>
          <w:wAfter w:w="33"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592785DB"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5C4712E0"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2DABFFEE" w14:textId="77777777" w:rsidR="00B60EA6" w:rsidRPr="00977C96" w:rsidRDefault="00B60EA6" w:rsidP="00B60EA6">
            <w:pPr>
              <w:overflowPunct/>
              <w:autoSpaceDE/>
              <w:autoSpaceDN/>
              <w:adjustRightInd/>
              <w:textAlignment w:val="auto"/>
              <w:rPr>
                <w:color w:val="000000"/>
                <w:sz w:val="24"/>
                <w:szCs w:val="24"/>
                <w:lang w:val="en-CA" w:eastAsia="en-CA"/>
              </w:rPr>
            </w:pPr>
            <w:r w:rsidRPr="00977C96">
              <w:rPr>
                <w:color w:val="000000"/>
                <w:sz w:val="24"/>
                <w:szCs w:val="24"/>
                <w:lang w:val="en-CA" w:eastAsia="en-CA"/>
              </w:rPr>
              <w:t xml:space="preserve">of </w:t>
            </w:r>
            <w:proofErr w:type="gramStart"/>
            <w:r w:rsidRPr="00977C96">
              <w:rPr>
                <w:color w:val="000000"/>
                <w:sz w:val="24"/>
                <w:szCs w:val="24"/>
                <w:lang w:val="en-CA" w:eastAsia="en-CA"/>
              </w:rPr>
              <w:t>which :</w:t>
            </w:r>
            <w:proofErr w:type="gramEnd"/>
            <w:r w:rsidRPr="00977C96">
              <w:rPr>
                <w:color w:val="000000"/>
                <w:sz w:val="24"/>
                <w:szCs w:val="24"/>
                <w:lang w:val="en-CA" w:eastAsia="en-CA"/>
              </w:rPr>
              <w:t xml:space="preserve"> From RBI</w:t>
            </w:r>
          </w:p>
        </w:tc>
        <w:tc>
          <w:tcPr>
            <w:tcW w:w="1843" w:type="dxa"/>
            <w:gridSpan w:val="2"/>
            <w:tcBorders>
              <w:top w:val="nil"/>
              <w:left w:val="nil"/>
              <w:bottom w:val="single" w:sz="4" w:space="0" w:color="auto"/>
              <w:right w:val="single" w:sz="4" w:space="0" w:color="auto"/>
            </w:tcBorders>
            <w:shd w:val="clear" w:color="auto" w:fill="auto"/>
            <w:vAlign w:val="center"/>
            <w:hideMark/>
          </w:tcPr>
          <w:p w14:paraId="3A861E29" w14:textId="77777777" w:rsidR="00B60EA6" w:rsidRPr="00977C96" w:rsidRDefault="00B60EA6" w:rsidP="00B60EA6">
            <w:pPr>
              <w:overflowPunct/>
              <w:autoSpaceDE/>
              <w:autoSpaceDN/>
              <w:adjustRightInd/>
              <w:jc w:val="right"/>
              <w:textAlignment w:val="auto"/>
              <w:rPr>
                <w:color w:val="000000"/>
                <w:sz w:val="24"/>
                <w:szCs w:val="24"/>
                <w:lang w:val="en-CA" w:eastAsia="en-CA"/>
              </w:rPr>
            </w:pPr>
            <w:r w:rsidRPr="00977C96">
              <w:rPr>
                <w:color w:val="000000"/>
                <w:sz w:val="24"/>
                <w:szCs w:val="24"/>
                <w:lang w:val="en-CA" w:eastAsia="en-CA"/>
              </w:rPr>
              <w:t xml:space="preserve">                      -   </w:t>
            </w:r>
          </w:p>
        </w:tc>
        <w:tc>
          <w:tcPr>
            <w:tcW w:w="1558" w:type="dxa"/>
            <w:tcBorders>
              <w:top w:val="nil"/>
              <w:left w:val="nil"/>
              <w:bottom w:val="single" w:sz="4" w:space="0" w:color="auto"/>
              <w:right w:val="single" w:sz="4" w:space="0" w:color="auto"/>
            </w:tcBorders>
            <w:shd w:val="clear" w:color="auto" w:fill="auto"/>
            <w:vAlign w:val="center"/>
            <w:hideMark/>
          </w:tcPr>
          <w:p w14:paraId="463FD66C" w14:textId="7DDFEEA8" w:rsidR="00B60EA6" w:rsidRPr="00977C96" w:rsidRDefault="00B60EA6" w:rsidP="00B60EA6">
            <w:pPr>
              <w:overflowPunct/>
              <w:autoSpaceDE/>
              <w:autoSpaceDN/>
              <w:adjustRightInd/>
              <w:jc w:val="right"/>
              <w:textAlignment w:val="auto"/>
              <w:rPr>
                <w:color w:val="000000"/>
                <w:sz w:val="24"/>
                <w:szCs w:val="24"/>
                <w:lang w:val="en-CA" w:eastAsia="en-CA"/>
              </w:rPr>
            </w:pPr>
            <w:r w:rsidRPr="00977C96">
              <w:rPr>
                <w:color w:val="000000"/>
                <w:sz w:val="24"/>
                <w:szCs w:val="24"/>
                <w:lang w:val="en-CA" w:eastAsia="en-CA"/>
              </w:rPr>
              <w:t xml:space="preserve">                      -   </w:t>
            </w:r>
          </w:p>
        </w:tc>
      </w:tr>
      <w:tr w:rsidR="00B60EA6" w:rsidRPr="006D201D" w14:paraId="4FC9BCBB" w14:textId="77777777" w:rsidTr="00040726">
        <w:trPr>
          <w:gridBefore w:val="1"/>
          <w:gridAfter w:val="1"/>
          <w:wBefore w:w="17" w:type="dxa"/>
          <w:wAfter w:w="33"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3798EF5E"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0123BC8C"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530500B4" w14:textId="77777777" w:rsidR="00B60EA6" w:rsidRPr="00977C96" w:rsidRDefault="00B60EA6" w:rsidP="00B60EA6">
            <w:pPr>
              <w:overflowPunct/>
              <w:autoSpaceDE/>
              <w:autoSpaceDN/>
              <w:adjustRightInd/>
              <w:textAlignment w:val="auto"/>
              <w:rPr>
                <w:color w:val="000000"/>
                <w:sz w:val="24"/>
                <w:szCs w:val="24"/>
                <w:lang w:val="en-CA" w:eastAsia="en-CA"/>
              </w:rPr>
            </w:pPr>
            <w:r w:rsidRPr="00977C96">
              <w:rPr>
                <w:color w:val="000000"/>
                <w:sz w:val="24"/>
                <w:szCs w:val="24"/>
                <w:lang w:val="en-CA" w:eastAsia="en-CA"/>
              </w:rPr>
              <w:t xml:space="preserve">of </w:t>
            </w:r>
            <w:proofErr w:type="gramStart"/>
            <w:r w:rsidRPr="00977C96">
              <w:rPr>
                <w:color w:val="000000"/>
                <w:sz w:val="24"/>
                <w:szCs w:val="24"/>
                <w:lang w:val="en-CA" w:eastAsia="en-CA"/>
              </w:rPr>
              <w:t>which :</w:t>
            </w:r>
            <w:proofErr w:type="gramEnd"/>
            <w:r w:rsidRPr="00977C96">
              <w:rPr>
                <w:color w:val="000000"/>
                <w:sz w:val="24"/>
                <w:szCs w:val="24"/>
                <w:lang w:val="en-CA" w:eastAsia="en-CA"/>
              </w:rPr>
              <w:t xml:space="preserve"> From banks</w:t>
            </w:r>
          </w:p>
        </w:tc>
        <w:tc>
          <w:tcPr>
            <w:tcW w:w="1843" w:type="dxa"/>
            <w:gridSpan w:val="2"/>
            <w:tcBorders>
              <w:top w:val="nil"/>
              <w:left w:val="nil"/>
              <w:bottom w:val="single" w:sz="4" w:space="0" w:color="auto"/>
              <w:right w:val="single" w:sz="4" w:space="0" w:color="auto"/>
            </w:tcBorders>
            <w:shd w:val="clear" w:color="auto" w:fill="auto"/>
            <w:vAlign w:val="center"/>
            <w:hideMark/>
          </w:tcPr>
          <w:p w14:paraId="01F8DBED" w14:textId="77777777" w:rsidR="00B60EA6" w:rsidRPr="00977C96" w:rsidRDefault="00B60EA6" w:rsidP="00B60EA6">
            <w:pPr>
              <w:overflowPunct/>
              <w:autoSpaceDE/>
              <w:autoSpaceDN/>
              <w:adjustRightInd/>
              <w:jc w:val="right"/>
              <w:textAlignment w:val="auto"/>
              <w:rPr>
                <w:color w:val="000000"/>
                <w:sz w:val="24"/>
                <w:szCs w:val="24"/>
                <w:lang w:val="en-CA" w:eastAsia="en-CA"/>
              </w:rPr>
            </w:pPr>
            <w:r w:rsidRPr="00977C96">
              <w:rPr>
                <w:color w:val="000000"/>
                <w:sz w:val="24"/>
                <w:szCs w:val="24"/>
                <w:lang w:val="en-CA" w:eastAsia="en-CA"/>
              </w:rPr>
              <w:t xml:space="preserve">                      -   </w:t>
            </w:r>
          </w:p>
        </w:tc>
        <w:tc>
          <w:tcPr>
            <w:tcW w:w="1558" w:type="dxa"/>
            <w:tcBorders>
              <w:top w:val="nil"/>
              <w:left w:val="nil"/>
              <w:bottom w:val="single" w:sz="4" w:space="0" w:color="auto"/>
              <w:right w:val="single" w:sz="4" w:space="0" w:color="auto"/>
            </w:tcBorders>
            <w:shd w:val="clear" w:color="auto" w:fill="auto"/>
            <w:vAlign w:val="center"/>
            <w:hideMark/>
          </w:tcPr>
          <w:p w14:paraId="4319CC91" w14:textId="12D3A257" w:rsidR="00B60EA6" w:rsidRPr="00977C96" w:rsidRDefault="00B60EA6" w:rsidP="00B60EA6">
            <w:pPr>
              <w:overflowPunct/>
              <w:autoSpaceDE/>
              <w:autoSpaceDN/>
              <w:adjustRightInd/>
              <w:jc w:val="right"/>
              <w:textAlignment w:val="auto"/>
              <w:rPr>
                <w:color w:val="000000"/>
                <w:sz w:val="24"/>
                <w:szCs w:val="24"/>
                <w:lang w:val="en-CA" w:eastAsia="en-CA"/>
              </w:rPr>
            </w:pPr>
            <w:r w:rsidRPr="00977C96">
              <w:rPr>
                <w:color w:val="000000"/>
                <w:sz w:val="24"/>
                <w:szCs w:val="24"/>
                <w:lang w:val="en-CA" w:eastAsia="en-CA"/>
              </w:rPr>
              <w:t xml:space="preserve">                      -   </w:t>
            </w:r>
          </w:p>
        </w:tc>
      </w:tr>
      <w:tr w:rsidR="00B60EA6" w:rsidRPr="006D201D" w14:paraId="6B5FFA75" w14:textId="77777777" w:rsidTr="00040726">
        <w:trPr>
          <w:gridBefore w:val="1"/>
          <w:gridAfter w:val="1"/>
          <w:wBefore w:w="17" w:type="dxa"/>
          <w:wAfter w:w="33"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095A2B8D"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63457CFD"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7BD8DBA9" w14:textId="77777777" w:rsidR="00B60EA6" w:rsidRPr="00977C96" w:rsidRDefault="00B60EA6" w:rsidP="00B60EA6">
            <w:pPr>
              <w:overflowPunct/>
              <w:autoSpaceDE/>
              <w:autoSpaceDN/>
              <w:adjustRightInd/>
              <w:textAlignment w:val="auto"/>
              <w:rPr>
                <w:color w:val="000000"/>
                <w:sz w:val="24"/>
                <w:szCs w:val="24"/>
                <w:lang w:val="en-CA" w:eastAsia="en-CA"/>
              </w:rPr>
            </w:pPr>
            <w:r w:rsidRPr="00977C96">
              <w:rPr>
                <w:color w:val="000000"/>
                <w:sz w:val="24"/>
                <w:szCs w:val="24"/>
                <w:lang w:val="en-CA" w:eastAsia="en-CA"/>
              </w:rPr>
              <w:t xml:space="preserve">of </w:t>
            </w:r>
            <w:proofErr w:type="gramStart"/>
            <w:r w:rsidRPr="00977C96">
              <w:rPr>
                <w:color w:val="000000"/>
                <w:sz w:val="24"/>
                <w:szCs w:val="24"/>
                <w:lang w:val="en-CA" w:eastAsia="en-CA"/>
              </w:rPr>
              <w:t>which :</w:t>
            </w:r>
            <w:proofErr w:type="gramEnd"/>
            <w:r w:rsidRPr="00977C96">
              <w:rPr>
                <w:color w:val="000000"/>
                <w:sz w:val="24"/>
                <w:szCs w:val="24"/>
                <w:lang w:val="en-CA" w:eastAsia="en-CA"/>
              </w:rPr>
              <w:t xml:space="preserve"> From other institutions &amp; agencies</w:t>
            </w:r>
          </w:p>
        </w:tc>
        <w:tc>
          <w:tcPr>
            <w:tcW w:w="1843" w:type="dxa"/>
            <w:gridSpan w:val="2"/>
            <w:tcBorders>
              <w:top w:val="nil"/>
              <w:left w:val="nil"/>
              <w:bottom w:val="single" w:sz="4" w:space="0" w:color="auto"/>
              <w:right w:val="single" w:sz="4" w:space="0" w:color="auto"/>
            </w:tcBorders>
            <w:shd w:val="clear" w:color="auto" w:fill="auto"/>
            <w:vAlign w:val="center"/>
            <w:hideMark/>
          </w:tcPr>
          <w:p w14:paraId="496FD5DC" w14:textId="77777777" w:rsidR="00B60EA6" w:rsidRPr="00977C96" w:rsidRDefault="00B60EA6" w:rsidP="00B60EA6">
            <w:pPr>
              <w:overflowPunct/>
              <w:autoSpaceDE/>
              <w:autoSpaceDN/>
              <w:adjustRightInd/>
              <w:jc w:val="right"/>
              <w:textAlignment w:val="auto"/>
              <w:rPr>
                <w:color w:val="000000"/>
                <w:sz w:val="24"/>
                <w:szCs w:val="24"/>
                <w:lang w:val="en-CA" w:eastAsia="en-CA"/>
              </w:rPr>
            </w:pPr>
            <w:r w:rsidRPr="00977C96">
              <w:rPr>
                <w:color w:val="000000"/>
                <w:sz w:val="24"/>
                <w:szCs w:val="24"/>
                <w:lang w:val="en-CA" w:eastAsia="en-CA"/>
              </w:rPr>
              <w:t xml:space="preserve">                      -   </w:t>
            </w:r>
          </w:p>
        </w:tc>
        <w:tc>
          <w:tcPr>
            <w:tcW w:w="1558" w:type="dxa"/>
            <w:tcBorders>
              <w:top w:val="nil"/>
              <w:left w:val="nil"/>
              <w:bottom w:val="single" w:sz="4" w:space="0" w:color="auto"/>
              <w:right w:val="single" w:sz="4" w:space="0" w:color="auto"/>
            </w:tcBorders>
            <w:shd w:val="clear" w:color="auto" w:fill="auto"/>
            <w:vAlign w:val="center"/>
            <w:hideMark/>
          </w:tcPr>
          <w:p w14:paraId="626C2F50" w14:textId="5C079F06" w:rsidR="00B60EA6" w:rsidRPr="00977C96" w:rsidRDefault="00B60EA6" w:rsidP="00B60EA6">
            <w:pPr>
              <w:overflowPunct/>
              <w:autoSpaceDE/>
              <w:autoSpaceDN/>
              <w:adjustRightInd/>
              <w:jc w:val="right"/>
              <w:textAlignment w:val="auto"/>
              <w:rPr>
                <w:color w:val="000000"/>
                <w:sz w:val="24"/>
                <w:szCs w:val="24"/>
                <w:lang w:val="en-CA" w:eastAsia="en-CA"/>
              </w:rPr>
            </w:pPr>
            <w:r w:rsidRPr="00977C96">
              <w:rPr>
                <w:color w:val="000000"/>
                <w:sz w:val="24"/>
                <w:szCs w:val="24"/>
                <w:lang w:val="en-CA" w:eastAsia="en-CA"/>
              </w:rPr>
              <w:t xml:space="preserve">                      -   </w:t>
            </w:r>
          </w:p>
        </w:tc>
      </w:tr>
      <w:tr w:rsidR="00B60EA6" w:rsidRPr="006D201D" w14:paraId="76CA494E" w14:textId="77777777" w:rsidTr="00040726">
        <w:trPr>
          <w:gridBefore w:val="1"/>
          <w:gridAfter w:val="1"/>
          <w:wBefore w:w="17" w:type="dxa"/>
          <w:wAfter w:w="33" w:type="dxa"/>
          <w:trHeight w:val="6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5C185802"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2CF52828"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541261CB" w14:textId="77777777" w:rsidR="00B60EA6" w:rsidRPr="00977C96" w:rsidRDefault="00B60EA6" w:rsidP="00B60EA6">
            <w:pPr>
              <w:overflowPunct/>
              <w:autoSpaceDE/>
              <w:autoSpaceDN/>
              <w:adjustRightInd/>
              <w:textAlignment w:val="auto"/>
              <w:rPr>
                <w:color w:val="000000"/>
                <w:sz w:val="24"/>
                <w:szCs w:val="24"/>
                <w:lang w:val="en-CA" w:eastAsia="en-CA"/>
              </w:rPr>
            </w:pPr>
            <w:r w:rsidRPr="00977C96">
              <w:rPr>
                <w:color w:val="000000"/>
                <w:sz w:val="24"/>
                <w:szCs w:val="24"/>
                <w:lang w:val="en-CA" w:eastAsia="en-CA"/>
              </w:rPr>
              <w:t xml:space="preserve">of </w:t>
            </w:r>
            <w:proofErr w:type="gramStart"/>
            <w:r w:rsidRPr="00977C96">
              <w:rPr>
                <w:color w:val="000000"/>
                <w:sz w:val="24"/>
                <w:szCs w:val="24"/>
                <w:lang w:val="en-CA" w:eastAsia="en-CA"/>
              </w:rPr>
              <w:t>which :</w:t>
            </w:r>
            <w:proofErr w:type="gramEnd"/>
            <w:r w:rsidRPr="00977C96">
              <w:rPr>
                <w:color w:val="000000"/>
                <w:sz w:val="24"/>
                <w:szCs w:val="24"/>
                <w:lang w:val="en-CA" w:eastAsia="en-CA"/>
              </w:rPr>
              <w:t xml:space="preserve"> Others (pl. specify)</w:t>
            </w:r>
            <w:r w:rsidRPr="00977C96">
              <w:rPr>
                <w:b/>
                <w:bCs/>
                <w:color w:val="000000"/>
                <w:sz w:val="24"/>
                <w:szCs w:val="24"/>
                <w:lang w:val="en-CA" w:eastAsia="en-CA"/>
              </w:rPr>
              <w:t xml:space="preserve"> (Borrowings outside India)</w:t>
            </w:r>
          </w:p>
        </w:tc>
        <w:tc>
          <w:tcPr>
            <w:tcW w:w="1843" w:type="dxa"/>
            <w:gridSpan w:val="2"/>
            <w:tcBorders>
              <w:top w:val="nil"/>
              <w:left w:val="nil"/>
              <w:bottom w:val="single" w:sz="4" w:space="0" w:color="auto"/>
              <w:right w:val="single" w:sz="4" w:space="0" w:color="auto"/>
            </w:tcBorders>
            <w:shd w:val="clear" w:color="auto" w:fill="auto"/>
            <w:vAlign w:val="center"/>
            <w:hideMark/>
          </w:tcPr>
          <w:p w14:paraId="603E8BBA" w14:textId="04D7C31F"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316,089</w:t>
            </w:r>
            <w:r w:rsidRPr="00977C96">
              <w:rPr>
                <w:color w:val="000000"/>
                <w:sz w:val="24"/>
                <w:szCs w:val="24"/>
                <w:lang w:val="en-CA" w:eastAsia="en-CA"/>
              </w:rPr>
              <w:t xml:space="preserve"> </w:t>
            </w:r>
          </w:p>
        </w:tc>
        <w:tc>
          <w:tcPr>
            <w:tcW w:w="1558" w:type="dxa"/>
            <w:tcBorders>
              <w:top w:val="nil"/>
              <w:left w:val="nil"/>
              <w:bottom w:val="single" w:sz="4" w:space="0" w:color="auto"/>
              <w:right w:val="single" w:sz="4" w:space="0" w:color="auto"/>
            </w:tcBorders>
            <w:shd w:val="clear" w:color="auto" w:fill="auto"/>
            <w:vAlign w:val="center"/>
            <w:hideMark/>
          </w:tcPr>
          <w:p w14:paraId="5A833663" w14:textId="7D2785C5"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316,089</w:t>
            </w:r>
            <w:r w:rsidRPr="00977C96">
              <w:rPr>
                <w:color w:val="000000"/>
                <w:sz w:val="24"/>
                <w:szCs w:val="24"/>
                <w:lang w:val="en-CA" w:eastAsia="en-CA"/>
              </w:rPr>
              <w:t xml:space="preserve"> </w:t>
            </w:r>
          </w:p>
        </w:tc>
      </w:tr>
      <w:tr w:rsidR="00B60EA6" w:rsidRPr="006D201D" w14:paraId="6D36A6D5" w14:textId="77777777" w:rsidTr="00040726">
        <w:trPr>
          <w:gridBefore w:val="1"/>
          <w:gridAfter w:val="1"/>
          <w:wBefore w:w="17" w:type="dxa"/>
          <w:wAfter w:w="33"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496B3144"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304DE854"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37D6A433" w14:textId="77777777" w:rsidR="00B60EA6" w:rsidRPr="00977C96" w:rsidRDefault="00B60EA6" w:rsidP="00B60EA6">
            <w:pPr>
              <w:overflowPunct/>
              <w:autoSpaceDE/>
              <w:autoSpaceDN/>
              <w:adjustRightInd/>
              <w:textAlignment w:val="auto"/>
              <w:rPr>
                <w:color w:val="000000"/>
                <w:sz w:val="24"/>
                <w:szCs w:val="24"/>
                <w:lang w:val="en-CA" w:eastAsia="en-CA"/>
              </w:rPr>
            </w:pPr>
            <w:r w:rsidRPr="00977C96">
              <w:rPr>
                <w:color w:val="000000"/>
                <w:sz w:val="24"/>
                <w:szCs w:val="24"/>
                <w:lang w:val="en-CA" w:eastAsia="en-CA"/>
              </w:rPr>
              <w:t>of which Capital instruments</w:t>
            </w:r>
          </w:p>
        </w:tc>
        <w:tc>
          <w:tcPr>
            <w:tcW w:w="1843" w:type="dxa"/>
            <w:gridSpan w:val="2"/>
            <w:tcBorders>
              <w:top w:val="nil"/>
              <w:left w:val="nil"/>
              <w:bottom w:val="single" w:sz="4" w:space="0" w:color="auto"/>
              <w:right w:val="single" w:sz="4" w:space="0" w:color="auto"/>
            </w:tcBorders>
            <w:shd w:val="clear" w:color="auto" w:fill="auto"/>
            <w:vAlign w:val="center"/>
            <w:hideMark/>
          </w:tcPr>
          <w:p w14:paraId="40660F85" w14:textId="77777777" w:rsidR="00B60EA6" w:rsidRPr="00977C96" w:rsidRDefault="00B60EA6" w:rsidP="00B60EA6">
            <w:pPr>
              <w:overflowPunct/>
              <w:autoSpaceDE/>
              <w:autoSpaceDN/>
              <w:adjustRightInd/>
              <w:jc w:val="right"/>
              <w:textAlignment w:val="auto"/>
              <w:rPr>
                <w:color w:val="000000"/>
                <w:sz w:val="24"/>
                <w:szCs w:val="24"/>
                <w:lang w:val="en-CA" w:eastAsia="en-CA"/>
              </w:rPr>
            </w:pPr>
            <w:r w:rsidRPr="00977C96">
              <w:rPr>
                <w:color w:val="000000"/>
                <w:sz w:val="24"/>
                <w:szCs w:val="24"/>
                <w:lang w:val="en-CA" w:eastAsia="en-CA"/>
              </w:rPr>
              <w:t xml:space="preserve">                      -   </w:t>
            </w:r>
          </w:p>
        </w:tc>
        <w:tc>
          <w:tcPr>
            <w:tcW w:w="1558" w:type="dxa"/>
            <w:tcBorders>
              <w:top w:val="nil"/>
              <w:left w:val="nil"/>
              <w:bottom w:val="single" w:sz="4" w:space="0" w:color="auto"/>
              <w:right w:val="single" w:sz="4" w:space="0" w:color="auto"/>
            </w:tcBorders>
            <w:shd w:val="clear" w:color="auto" w:fill="auto"/>
            <w:vAlign w:val="center"/>
            <w:hideMark/>
          </w:tcPr>
          <w:p w14:paraId="266E36BD" w14:textId="5F56D208" w:rsidR="00B60EA6" w:rsidRPr="00977C96" w:rsidRDefault="00B60EA6" w:rsidP="00B60EA6">
            <w:pPr>
              <w:overflowPunct/>
              <w:autoSpaceDE/>
              <w:autoSpaceDN/>
              <w:adjustRightInd/>
              <w:jc w:val="right"/>
              <w:textAlignment w:val="auto"/>
              <w:rPr>
                <w:color w:val="000000"/>
                <w:sz w:val="24"/>
                <w:szCs w:val="24"/>
                <w:lang w:val="en-CA" w:eastAsia="en-CA"/>
              </w:rPr>
            </w:pPr>
            <w:r w:rsidRPr="00977C96">
              <w:rPr>
                <w:color w:val="000000"/>
                <w:sz w:val="24"/>
                <w:szCs w:val="24"/>
                <w:lang w:val="en-CA" w:eastAsia="en-CA"/>
              </w:rPr>
              <w:t xml:space="preserve">                      -   </w:t>
            </w:r>
          </w:p>
        </w:tc>
      </w:tr>
      <w:tr w:rsidR="00B60EA6" w:rsidRPr="006D201D" w14:paraId="41E133F6" w14:textId="77777777" w:rsidTr="00040726">
        <w:trPr>
          <w:gridBefore w:val="1"/>
          <w:gridAfter w:val="1"/>
          <w:wBefore w:w="17" w:type="dxa"/>
          <w:wAfter w:w="33"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64AB1FBB"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6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3ED2792" w14:textId="77777777" w:rsidR="00B60EA6" w:rsidRPr="00977C96" w:rsidRDefault="00B60EA6" w:rsidP="00B60EA6">
            <w:pPr>
              <w:overflowPunct/>
              <w:autoSpaceDE/>
              <w:autoSpaceDN/>
              <w:adjustRightInd/>
              <w:jc w:val="center"/>
              <w:textAlignment w:val="auto"/>
              <w:rPr>
                <w:color w:val="000000"/>
                <w:sz w:val="24"/>
                <w:szCs w:val="24"/>
                <w:lang w:val="en-CA" w:eastAsia="en-CA"/>
              </w:rPr>
            </w:pPr>
            <w:r w:rsidRPr="00977C96">
              <w:rPr>
                <w:color w:val="000000"/>
                <w:sz w:val="24"/>
                <w:szCs w:val="24"/>
                <w:lang w:val="en-CA" w:eastAsia="en-CA"/>
              </w:rPr>
              <w:t>iv.</w:t>
            </w:r>
          </w:p>
        </w:tc>
        <w:tc>
          <w:tcPr>
            <w:tcW w:w="5028" w:type="dxa"/>
            <w:tcBorders>
              <w:top w:val="nil"/>
              <w:left w:val="nil"/>
              <w:bottom w:val="single" w:sz="4" w:space="0" w:color="auto"/>
              <w:right w:val="single" w:sz="4" w:space="0" w:color="auto"/>
            </w:tcBorders>
            <w:shd w:val="clear" w:color="auto" w:fill="auto"/>
            <w:vAlign w:val="center"/>
            <w:hideMark/>
          </w:tcPr>
          <w:p w14:paraId="0C13CF54" w14:textId="77777777" w:rsidR="00B60EA6" w:rsidRPr="00977C96" w:rsidRDefault="00B60EA6" w:rsidP="00B60EA6">
            <w:pPr>
              <w:overflowPunct/>
              <w:autoSpaceDE/>
              <w:autoSpaceDN/>
              <w:adjustRightInd/>
              <w:textAlignment w:val="auto"/>
              <w:rPr>
                <w:color w:val="000000"/>
                <w:sz w:val="24"/>
                <w:szCs w:val="24"/>
                <w:lang w:val="en-CA" w:eastAsia="en-CA"/>
              </w:rPr>
            </w:pPr>
            <w:r w:rsidRPr="00977C96">
              <w:rPr>
                <w:color w:val="000000"/>
                <w:sz w:val="24"/>
                <w:szCs w:val="24"/>
                <w:lang w:val="en-CA" w:eastAsia="en-CA"/>
              </w:rPr>
              <w:t>Other liabilities &amp; provisions</w:t>
            </w:r>
          </w:p>
        </w:tc>
        <w:tc>
          <w:tcPr>
            <w:tcW w:w="1843" w:type="dxa"/>
            <w:gridSpan w:val="2"/>
            <w:tcBorders>
              <w:top w:val="nil"/>
              <w:left w:val="nil"/>
              <w:bottom w:val="single" w:sz="4" w:space="0" w:color="auto"/>
              <w:right w:val="single" w:sz="4" w:space="0" w:color="auto"/>
            </w:tcBorders>
            <w:shd w:val="clear" w:color="auto" w:fill="auto"/>
            <w:vAlign w:val="center"/>
            <w:hideMark/>
          </w:tcPr>
          <w:p w14:paraId="6F058156" w14:textId="6E0EE23A"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1,661,771</w:t>
            </w:r>
            <w:r w:rsidRPr="00977C96">
              <w:rPr>
                <w:color w:val="000000"/>
                <w:sz w:val="24"/>
                <w:szCs w:val="24"/>
                <w:lang w:val="en-CA" w:eastAsia="en-CA"/>
              </w:rPr>
              <w:t xml:space="preserve"> </w:t>
            </w:r>
          </w:p>
        </w:tc>
        <w:tc>
          <w:tcPr>
            <w:tcW w:w="1558" w:type="dxa"/>
            <w:tcBorders>
              <w:top w:val="nil"/>
              <w:left w:val="nil"/>
              <w:bottom w:val="single" w:sz="4" w:space="0" w:color="auto"/>
              <w:right w:val="single" w:sz="4" w:space="0" w:color="auto"/>
            </w:tcBorders>
            <w:shd w:val="clear" w:color="auto" w:fill="auto"/>
            <w:vAlign w:val="center"/>
            <w:hideMark/>
          </w:tcPr>
          <w:p w14:paraId="413FA672" w14:textId="7409471A" w:rsidR="00B60EA6" w:rsidRPr="00977C96" w:rsidRDefault="00B60EA6"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1,661,771</w:t>
            </w:r>
            <w:r w:rsidRPr="00977C96">
              <w:rPr>
                <w:color w:val="000000"/>
                <w:sz w:val="24"/>
                <w:szCs w:val="24"/>
                <w:lang w:val="en-CA" w:eastAsia="en-CA"/>
              </w:rPr>
              <w:t xml:space="preserve"> </w:t>
            </w:r>
          </w:p>
        </w:tc>
      </w:tr>
      <w:tr w:rsidR="00B60EA6" w:rsidRPr="006D201D" w14:paraId="209B10A5" w14:textId="77777777" w:rsidTr="00040726">
        <w:trPr>
          <w:gridBefore w:val="1"/>
          <w:gridAfter w:val="1"/>
          <w:wBefore w:w="17" w:type="dxa"/>
          <w:wAfter w:w="33"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77934852"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684A5777"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070A5CCE" w14:textId="77777777" w:rsidR="00B60EA6" w:rsidRPr="00977C96" w:rsidRDefault="00B60EA6" w:rsidP="00B60EA6">
            <w:pPr>
              <w:overflowPunct/>
              <w:autoSpaceDE/>
              <w:autoSpaceDN/>
              <w:adjustRightInd/>
              <w:textAlignment w:val="auto"/>
              <w:rPr>
                <w:color w:val="000000"/>
                <w:sz w:val="24"/>
                <w:szCs w:val="24"/>
                <w:lang w:val="en-CA" w:eastAsia="en-CA"/>
              </w:rPr>
            </w:pPr>
            <w:r w:rsidRPr="00977C96">
              <w:rPr>
                <w:color w:val="000000"/>
                <w:sz w:val="24"/>
                <w:szCs w:val="24"/>
                <w:lang w:val="en-CA" w:eastAsia="en-CA"/>
              </w:rPr>
              <w:t>Of which Standard assets provision</w:t>
            </w:r>
          </w:p>
        </w:tc>
        <w:tc>
          <w:tcPr>
            <w:tcW w:w="1843" w:type="dxa"/>
            <w:gridSpan w:val="2"/>
            <w:tcBorders>
              <w:top w:val="nil"/>
              <w:left w:val="nil"/>
              <w:bottom w:val="single" w:sz="4" w:space="0" w:color="auto"/>
              <w:right w:val="single" w:sz="4" w:space="0" w:color="auto"/>
            </w:tcBorders>
            <w:shd w:val="clear" w:color="auto" w:fill="auto"/>
            <w:vAlign w:val="center"/>
            <w:hideMark/>
          </w:tcPr>
          <w:p w14:paraId="339705E1" w14:textId="5F237A7E" w:rsidR="00B60EA6" w:rsidRPr="00977C96" w:rsidRDefault="005043B5"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219,729</w:t>
            </w:r>
            <w:r w:rsidR="00B60EA6" w:rsidRPr="00977C96">
              <w:rPr>
                <w:color w:val="000000"/>
                <w:sz w:val="24"/>
                <w:szCs w:val="24"/>
                <w:lang w:val="en-CA" w:eastAsia="en-CA"/>
              </w:rPr>
              <w:t xml:space="preserve"> </w:t>
            </w:r>
          </w:p>
        </w:tc>
        <w:tc>
          <w:tcPr>
            <w:tcW w:w="1558" w:type="dxa"/>
            <w:tcBorders>
              <w:top w:val="nil"/>
              <w:left w:val="nil"/>
              <w:bottom w:val="single" w:sz="4" w:space="0" w:color="auto"/>
              <w:right w:val="single" w:sz="4" w:space="0" w:color="auto"/>
            </w:tcBorders>
            <w:shd w:val="clear" w:color="auto" w:fill="auto"/>
            <w:vAlign w:val="center"/>
            <w:hideMark/>
          </w:tcPr>
          <w:p w14:paraId="43C967AC" w14:textId="33B15CE8" w:rsidR="00B60EA6" w:rsidRPr="00977C96" w:rsidRDefault="005043B5" w:rsidP="00B60EA6">
            <w:pPr>
              <w:overflowPunct/>
              <w:autoSpaceDE/>
              <w:autoSpaceDN/>
              <w:adjustRightInd/>
              <w:jc w:val="right"/>
              <w:textAlignment w:val="auto"/>
              <w:rPr>
                <w:color w:val="000000"/>
                <w:sz w:val="24"/>
                <w:szCs w:val="24"/>
                <w:lang w:val="en-CA" w:eastAsia="en-CA"/>
              </w:rPr>
            </w:pPr>
            <w:r>
              <w:rPr>
                <w:color w:val="000000"/>
                <w:sz w:val="24"/>
                <w:szCs w:val="24"/>
                <w:lang w:val="en-CA" w:eastAsia="en-CA"/>
              </w:rPr>
              <w:t>219,729</w:t>
            </w:r>
          </w:p>
        </w:tc>
      </w:tr>
      <w:tr w:rsidR="00B60EA6" w:rsidRPr="006D201D" w14:paraId="7D0ADE50" w14:textId="77777777" w:rsidTr="00040726">
        <w:trPr>
          <w:gridBefore w:val="1"/>
          <w:gridAfter w:val="1"/>
          <w:wBefore w:w="17" w:type="dxa"/>
          <w:wAfter w:w="33"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77DA57A4"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0E611648"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3DA08A9E" w14:textId="77777777" w:rsidR="00B60EA6" w:rsidRPr="00977C96" w:rsidRDefault="00B60EA6" w:rsidP="00B60EA6">
            <w:pPr>
              <w:overflowPunct/>
              <w:autoSpaceDE/>
              <w:autoSpaceDN/>
              <w:adjustRightInd/>
              <w:textAlignment w:val="auto"/>
              <w:rPr>
                <w:color w:val="000000"/>
                <w:sz w:val="24"/>
                <w:szCs w:val="24"/>
                <w:lang w:val="en-CA" w:eastAsia="en-CA"/>
              </w:rPr>
            </w:pPr>
            <w:r w:rsidRPr="00977C96">
              <w:rPr>
                <w:color w:val="000000"/>
                <w:sz w:val="24"/>
                <w:szCs w:val="24"/>
                <w:lang w:val="en-CA" w:eastAsia="en-CA"/>
              </w:rPr>
              <w:t>Of which Standard Country risk provision</w:t>
            </w:r>
          </w:p>
        </w:tc>
        <w:tc>
          <w:tcPr>
            <w:tcW w:w="1843" w:type="dxa"/>
            <w:gridSpan w:val="2"/>
            <w:tcBorders>
              <w:top w:val="nil"/>
              <w:left w:val="nil"/>
              <w:bottom w:val="single" w:sz="4" w:space="0" w:color="auto"/>
              <w:right w:val="single" w:sz="4" w:space="0" w:color="auto"/>
            </w:tcBorders>
            <w:shd w:val="clear" w:color="auto" w:fill="auto"/>
            <w:vAlign w:val="center"/>
            <w:hideMark/>
          </w:tcPr>
          <w:p w14:paraId="52F2ADA8" w14:textId="77777777" w:rsidR="00B60EA6" w:rsidRPr="00977C96" w:rsidRDefault="00B60EA6" w:rsidP="00B60EA6">
            <w:pPr>
              <w:overflowPunct/>
              <w:autoSpaceDE/>
              <w:autoSpaceDN/>
              <w:adjustRightInd/>
              <w:jc w:val="right"/>
              <w:textAlignment w:val="auto"/>
              <w:rPr>
                <w:color w:val="000000"/>
                <w:sz w:val="24"/>
                <w:szCs w:val="24"/>
                <w:lang w:val="en-CA" w:eastAsia="en-CA"/>
              </w:rPr>
            </w:pPr>
            <w:r w:rsidRPr="00977C96">
              <w:rPr>
                <w:color w:val="000000"/>
                <w:sz w:val="24"/>
                <w:szCs w:val="24"/>
                <w:lang w:val="en-CA" w:eastAsia="en-CA"/>
              </w:rPr>
              <w:t xml:space="preserve">                6,416 </w:t>
            </w:r>
          </w:p>
        </w:tc>
        <w:tc>
          <w:tcPr>
            <w:tcW w:w="1558" w:type="dxa"/>
            <w:tcBorders>
              <w:top w:val="nil"/>
              <w:left w:val="nil"/>
              <w:bottom w:val="single" w:sz="4" w:space="0" w:color="auto"/>
              <w:right w:val="single" w:sz="4" w:space="0" w:color="auto"/>
            </w:tcBorders>
            <w:shd w:val="clear" w:color="auto" w:fill="auto"/>
            <w:vAlign w:val="center"/>
            <w:hideMark/>
          </w:tcPr>
          <w:p w14:paraId="42FCF334" w14:textId="2F0E9125" w:rsidR="00B60EA6" w:rsidRPr="00977C96" w:rsidRDefault="00B60EA6" w:rsidP="00B60EA6">
            <w:pPr>
              <w:overflowPunct/>
              <w:autoSpaceDE/>
              <w:autoSpaceDN/>
              <w:adjustRightInd/>
              <w:ind w:left="-624"/>
              <w:jc w:val="right"/>
              <w:textAlignment w:val="auto"/>
              <w:rPr>
                <w:color w:val="000000"/>
                <w:sz w:val="24"/>
                <w:szCs w:val="24"/>
                <w:lang w:val="en-CA" w:eastAsia="en-CA"/>
              </w:rPr>
            </w:pPr>
            <w:r w:rsidRPr="00977C96">
              <w:rPr>
                <w:color w:val="000000"/>
                <w:sz w:val="24"/>
                <w:szCs w:val="24"/>
                <w:lang w:val="en-CA" w:eastAsia="en-CA"/>
              </w:rPr>
              <w:t xml:space="preserve">                6,416 </w:t>
            </w:r>
          </w:p>
        </w:tc>
      </w:tr>
      <w:tr w:rsidR="00B60EA6" w:rsidRPr="006D201D" w14:paraId="3D80CCD1" w14:textId="77777777" w:rsidTr="00040726">
        <w:trPr>
          <w:gridBefore w:val="1"/>
          <w:gridAfter w:val="1"/>
          <w:wBefore w:w="17" w:type="dxa"/>
          <w:wAfter w:w="33" w:type="dxa"/>
          <w:trHeight w:val="300"/>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24FFADC2" w14:textId="77777777" w:rsidR="00B60EA6" w:rsidRPr="00977C96" w:rsidRDefault="00B60EA6" w:rsidP="00B60EA6">
            <w:pPr>
              <w:overflowPunct/>
              <w:autoSpaceDE/>
              <w:autoSpaceDN/>
              <w:adjustRightInd/>
              <w:textAlignment w:val="auto"/>
              <w:rPr>
                <w:color w:val="000000"/>
                <w:sz w:val="24"/>
                <w:szCs w:val="24"/>
                <w:lang w:val="en-CA" w:eastAsia="en-CA"/>
              </w:rPr>
            </w:pPr>
          </w:p>
        </w:tc>
        <w:tc>
          <w:tcPr>
            <w:tcW w:w="5668" w:type="dxa"/>
            <w:gridSpan w:val="3"/>
            <w:tcBorders>
              <w:top w:val="single" w:sz="4" w:space="0" w:color="auto"/>
              <w:left w:val="nil"/>
              <w:bottom w:val="single" w:sz="4" w:space="0" w:color="auto"/>
              <w:right w:val="single" w:sz="4" w:space="0" w:color="000000"/>
            </w:tcBorders>
            <w:shd w:val="clear" w:color="auto" w:fill="auto"/>
            <w:vAlign w:val="center"/>
            <w:hideMark/>
          </w:tcPr>
          <w:p w14:paraId="7FB9A757" w14:textId="77777777" w:rsidR="00B60EA6" w:rsidRPr="00977C96" w:rsidRDefault="00B60EA6" w:rsidP="00B60EA6">
            <w:pPr>
              <w:overflowPunct/>
              <w:autoSpaceDE/>
              <w:autoSpaceDN/>
              <w:adjustRightInd/>
              <w:jc w:val="center"/>
              <w:textAlignment w:val="auto"/>
              <w:rPr>
                <w:b/>
                <w:bCs/>
                <w:color w:val="000000"/>
                <w:sz w:val="24"/>
                <w:szCs w:val="24"/>
                <w:lang w:val="en-CA" w:eastAsia="en-CA"/>
              </w:rPr>
            </w:pPr>
            <w:r w:rsidRPr="00977C96">
              <w:rPr>
                <w:b/>
                <w:bCs/>
                <w:color w:val="000000"/>
                <w:sz w:val="24"/>
                <w:szCs w:val="24"/>
                <w:lang w:val="en-CA" w:eastAsia="en-CA"/>
              </w:rPr>
              <w:t>Total</w:t>
            </w:r>
          </w:p>
        </w:tc>
        <w:tc>
          <w:tcPr>
            <w:tcW w:w="1843" w:type="dxa"/>
            <w:gridSpan w:val="2"/>
            <w:tcBorders>
              <w:top w:val="nil"/>
              <w:left w:val="nil"/>
              <w:bottom w:val="single" w:sz="4" w:space="0" w:color="auto"/>
              <w:right w:val="single" w:sz="4" w:space="0" w:color="auto"/>
            </w:tcBorders>
            <w:shd w:val="clear" w:color="auto" w:fill="auto"/>
            <w:vAlign w:val="center"/>
            <w:hideMark/>
          </w:tcPr>
          <w:p w14:paraId="1055B9D5" w14:textId="372873DB" w:rsidR="00B60EA6" w:rsidRPr="00977C96" w:rsidRDefault="00B60EA6" w:rsidP="00B60EA6">
            <w:pPr>
              <w:overflowPunct/>
              <w:autoSpaceDE/>
              <w:autoSpaceDN/>
              <w:adjustRightInd/>
              <w:jc w:val="right"/>
              <w:textAlignment w:val="auto"/>
              <w:rPr>
                <w:b/>
                <w:bCs/>
                <w:color w:val="000000"/>
                <w:sz w:val="24"/>
                <w:szCs w:val="24"/>
                <w:lang w:val="en-CA" w:eastAsia="en-CA"/>
              </w:rPr>
            </w:pPr>
            <w:r>
              <w:rPr>
                <w:b/>
                <w:bCs/>
                <w:color w:val="000000"/>
                <w:sz w:val="24"/>
                <w:szCs w:val="24"/>
                <w:lang w:val="en-CA" w:eastAsia="en-CA"/>
              </w:rPr>
              <w:t>50,738,530</w:t>
            </w:r>
            <w:r w:rsidRPr="00977C96">
              <w:rPr>
                <w:b/>
                <w:bCs/>
                <w:color w:val="000000"/>
                <w:sz w:val="24"/>
                <w:szCs w:val="24"/>
                <w:lang w:val="en-CA" w:eastAsia="en-CA"/>
              </w:rPr>
              <w:t xml:space="preserve"> </w:t>
            </w:r>
          </w:p>
        </w:tc>
        <w:tc>
          <w:tcPr>
            <w:tcW w:w="1558" w:type="dxa"/>
            <w:tcBorders>
              <w:top w:val="nil"/>
              <w:left w:val="nil"/>
              <w:bottom w:val="single" w:sz="4" w:space="0" w:color="auto"/>
              <w:right w:val="single" w:sz="4" w:space="0" w:color="auto"/>
            </w:tcBorders>
            <w:shd w:val="clear" w:color="auto" w:fill="auto"/>
            <w:vAlign w:val="center"/>
            <w:hideMark/>
          </w:tcPr>
          <w:p w14:paraId="43C6D25B" w14:textId="721BACF3" w:rsidR="00B60EA6" w:rsidRPr="00977C96" w:rsidRDefault="00B60EA6" w:rsidP="00B60EA6">
            <w:pPr>
              <w:overflowPunct/>
              <w:autoSpaceDE/>
              <w:autoSpaceDN/>
              <w:adjustRightInd/>
              <w:jc w:val="right"/>
              <w:textAlignment w:val="auto"/>
              <w:rPr>
                <w:b/>
                <w:bCs/>
                <w:color w:val="000000"/>
                <w:sz w:val="24"/>
                <w:szCs w:val="24"/>
                <w:lang w:val="en-CA" w:eastAsia="en-CA"/>
              </w:rPr>
            </w:pPr>
            <w:r>
              <w:rPr>
                <w:b/>
                <w:bCs/>
                <w:color w:val="000000"/>
                <w:sz w:val="24"/>
                <w:szCs w:val="24"/>
                <w:lang w:val="en-CA" w:eastAsia="en-CA"/>
              </w:rPr>
              <w:t>50,738,530</w:t>
            </w:r>
          </w:p>
        </w:tc>
      </w:tr>
      <w:tr w:rsidR="004C1CA7" w:rsidRPr="006D201D" w14:paraId="4D87A58B" w14:textId="77777777" w:rsidTr="00040726">
        <w:trPr>
          <w:gridBefore w:val="1"/>
          <w:gridAfter w:val="1"/>
          <w:wBefore w:w="17" w:type="dxa"/>
          <w:wAfter w:w="33" w:type="dxa"/>
          <w:trHeight w:val="513"/>
        </w:trPr>
        <w:tc>
          <w:tcPr>
            <w:tcW w:w="708" w:type="dxa"/>
            <w:vMerge w:val="restart"/>
            <w:tcBorders>
              <w:top w:val="nil"/>
              <w:left w:val="single" w:sz="4" w:space="0" w:color="auto"/>
              <w:bottom w:val="single" w:sz="4" w:space="0" w:color="000000"/>
              <w:right w:val="single" w:sz="4" w:space="0" w:color="auto"/>
            </w:tcBorders>
            <w:vAlign w:val="center"/>
            <w:hideMark/>
          </w:tcPr>
          <w:p w14:paraId="113E4D03" w14:textId="77777777" w:rsidR="004C1CA7" w:rsidRDefault="004C1CA7" w:rsidP="00040726">
            <w:pPr>
              <w:overflowPunct/>
              <w:autoSpaceDE/>
              <w:adjustRightInd/>
              <w:spacing w:line="276" w:lineRule="auto"/>
              <w:jc w:val="center"/>
              <w:rPr>
                <w:color w:val="000000"/>
                <w:sz w:val="24"/>
                <w:szCs w:val="24"/>
                <w:lang w:val="en-CA" w:eastAsia="en-CA"/>
              </w:rPr>
            </w:pPr>
            <w:r>
              <w:rPr>
                <w:color w:val="000000"/>
                <w:sz w:val="24"/>
                <w:szCs w:val="24"/>
                <w:lang w:val="en-CA" w:eastAsia="en-CA"/>
              </w:rPr>
              <w:t>B</w:t>
            </w:r>
          </w:p>
        </w:tc>
        <w:tc>
          <w:tcPr>
            <w:tcW w:w="5668" w:type="dxa"/>
            <w:gridSpan w:val="3"/>
            <w:tcBorders>
              <w:top w:val="single" w:sz="4" w:space="0" w:color="auto"/>
              <w:left w:val="nil"/>
              <w:bottom w:val="single" w:sz="4" w:space="0" w:color="auto"/>
              <w:right w:val="single" w:sz="4" w:space="0" w:color="auto"/>
            </w:tcBorders>
            <w:vAlign w:val="center"/>
            <w:hideMark/>
          </w:tcPr>
          <w:p w14:paraId="1E1D32D3" w14:textId="77777777" w:rsidR="004C1CA7" w:rsidRPr="006D201D" w:rsidRDefault="004C1CA7" w:rsidP="00040726">
            <w:pPr>
              <w:overflowPunct/>
              <w:autoSpaceDE/>
              <w:adjustRightInd/>
              <w:spacing w:line="276" w:lineRule="auto"/>
              <w:jc w:val="center"/>
              <w:rPr>
                <w:b/>
                <w:bCs/>
                <w:color w:val="000000"/>
                <w:sz w:val="24"/>
                <w:szCs w:val="24"/>
                <w:lang w:val="en-CA" w:eastAsia="en-CA"/>
              </w:rPr>
            </w:pPr>
            <w:r w:rsidRPr="006D201D">
              <w:rPr>
                <w:b/>
                <w:bCs/>
                <w:color w:val="000000"/>
                <w:sz w:val="24"/>
                <w:szCs w:val="24"/>
                <w:lang w:val="en-CA" w:eastAsia="en-CA"/>
              </w:rPr>
              <w:t>Assets</w:t>
            </w:r>
          </w:p>
        </w:tc>
        <w:tc>
          <w:tcPr>
            <w:tcW w:w="1843" w:type="dxa"/>
            <w:gridSpan w:val="2"/>
            <w:tcBorders>
              <w:top w:val="nil"/>
              <w:left w:val="nil"/>
              <w:bottom w:val="single" w:sz="4" w:space="0" w:color="auto"/>
              <w:right w:val="single" w:sz="4" w:space="0" w:color="auto"/>
            </w:tcBorders>
            <w:vAlign w:val="center"/>
            <w:hideMark/>
          </w:tcPr>
          <w:p w14:paraId="61338E1C"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 </w:t>
            </w:r>
          </w:p>
        </w:tc>
        <w:tc>
          <w:tcPr>
            <w:tcW w:w="1558" w:type="dxa"/>
            <w:tcBorders>
              <w:top w:val="nil"/>
              <w:left w:val="nil"/>
              <w:bottom w:val="single" w:sz="4" w:space="0" w:color="auto"/>
              <w:right w:val="single" w:sz="4" w:space="0" w:color="auto"/>
            </w:tcBorders>
            <w:vAlign w:val="center"/>
            <w:hideMark/>
          </w:tcPr>
          <w:p w14:paraId="11DFB0A0"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 </w:t>
            </w:r>
          </w:p>
        </w:tc>
      </w:tr>
      <w:tr w:rsidR="004C1CA7" w:rsidRPr="006D201D" w14:paraId="7DB81CA7"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67E6A0E8"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vMerge w:val="restart"/>
            <w:tcBorders>
              <w:top w:val="nil"/>
              <w:left w:val="single" w:sz="4" w:space="0" w:color="auto"/>
              <w:bottom w:val="single" w:sz="4" w:space="0" w:color="auto"/>
              <w:right w:val="single" w:sz="4" w:space="0" w:color="auto"/>
            </w:tcBorders>
            <w:vAlign w:val="center"/>
            <w:hideMark/>
          </w:tcPr>
          <w:p w14:paraId="15B7D533" w14:textId="77777777" w:rsidR="004C1CA7" w:rsidRDefault="004C1CA7" w:rsidP="00040726">
            <w:pPr>
              <w:overflowPunct/>
              <w:autoSpaceDE/>
              <w:adjustRightInd/>
              <w:spacing w:line="276" w:lineRule="auto"/>
              <w:jc w:val="center"/>
              <w:rPr>
                <w:color w:val="000000"/>
                <w:sz w:val="24"/>
                <w:szCs w:val="24"/>
                <w:lang w:val="en-CA" w:eastAsia="en-CA"/>
              </w:rPr>
            </w:pPr>
            <w:proofErr w:type="spellStart"/>
            <w:r>
              <w:rPr>
                <w:color w:val="000000"/>
                <w:sz w:val="24"/>
                <w:szCs w:val="24"/>
                <w:lang w:val="en-CA" w:eastAsia="en-CA"/>
              </w:rPr>
              <w:t>i</w:t>
            </w:r>
            <w:proofErr w:type="spellEnd"/>
            <w:r>
              <w:rPr>
                <w:color w:val="000000"/>
                <w:sz w:val="24"/>
                <w:szCs w:val="24"/>
                <w:lang w:val="en-CA" w:eastAsia="en-CA"/>
              </w:rPr>
              <w:t>.</w:t>
            </w:r>
          </w:p>
        </w:tc>
        <w:tc>
          <w:tcPr>
            <w:tcW w:w="5102" w:type="dxa"/>
            <w:gridSpan w:val="2"/>
            <w:tcBorders>
              <w:top w:val="nil"/>
              <w:left w:val="nil"/>
              <w:bottom w:val="single" w:sz="4" w:space="0" w:color="auto"/>
              <w:right w:val="single" w:sz="4" w:space="0" w:color="auto"/>
            </w:tcBorders>
            <w:vAlign w:val="center"/>
            <w:hideMark/>
          </w:tcPr>
          <w:p w14:paraId="487AD51A"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Cash and balances with Reserve Bank of India</w:t>
            </w:r>
          </w:p>
        </w:tc>
        <w:tc>
          <w:tcPr>
            <w:tcW w:w="1843" w:type="dxa"/>
            <w:gridSpan w:val="2"/>
            <w:tcBorders>
              <w:top w:val="nil"/>
              <w:left w:val="nil"/>
              <w:bottom w:val="single" w:sz="4" w:space="0" w:color="auto"/>
              <w:right w:val="single" w:sz="4" w:space="0" w:color="auto"/>
            </w:tcBorders>
            <w:vAlign w:val="center"/>
          </w:tcPr>
          <w:p w14:paraId="2B4E1C8A" w14:textId="4EC27706" w:rsidR="004C1CA7" w:rsidRPr="006D201D" w:rsidRDefault="00B60EA6" w:rsidP="00040726">
            <w:pPr>
              <w:overflowPunct/>
              <w:autoSpaceDE/>
              <w:adjustRightInd/>
              <w:spacing w:line="276" w:lineRule="auto"/>
              <w:jc w:val="right"/>
              <w:rPr>
                <w:color w:val="000000"/>
                <w:sz w:val="24"/>
                <w:szCs w:val="24"/>
                <w:lang w:val="en-CA" w:eastAsia="en-CA"/>
              </w:rPr>
            </w:pPr>
            <w:r>
              <w:rPr>
                <w:color w:val="000000"/>
                <w:sz w:val="24"/>
                <w:szCs w:val="24"/>
              </w:rPr>
              <w:t>13,59,366</w:t>
            </w:r>
            <w:r w:rsidR="004C1CA7" w:rsidRPr="006D201D">
              <w:rPr>
                <w:color w:val="000000"/>
                <w:sz w:val="24"/>
                <w:szCs w:val="24"/>
              </w:rPr>
              <w:t xml:space="preserve"> </w:t>
            </w:r>
          </w:p>
        </w:tc>
        <w:tc>
          <w:tcPr>
            <w:tcW w:w="1558" w:type="dxa"/>
            <w:tcBorders>
              <w:top w:val="nil"/>
              <w:left w:val="nil"/>
              <w:bottom w:val="single" w:sz="4" w:space="0" w:color="auto"/>
              <w:right w:val="single" w:sz="4" w:space="0" w:color="auto"/>
            </w:tcBorders>
            <w:vAlign w:val="center"/>
          </w:tcPr>
          <w:p w14:paraId="6EA9A8A8" w14:textId="23B7EC19" w:rsidR="004C1CA7" w:rsidRPr="006D201D" w:rsidRDefault="00B60EA6" w:rsidP="00040726">
            <w:pPr>
              <w:overflowPunct/>
              <w:autoSpaceDE/>
              <w:adjustRightInd/>
              <w:spacing w:line="276" w:lineRule="auto"/>
              <w:jc w:val="right"/>
              <w:rPr>
                <w:color w:val="000000"/>
                <w:sz w:val="24"/>
                <w:szCs w:val="24"/>
                <w:lang w:val="en-CA" w:eastAsia="en-CA"/>
              </w:rPr>
            </w:pPr>
            <w:r>
              <w:rPr>
                <w:color w:val="000000"/>
                <w:sz w:val="24"/>
                <w:szCs w:val="24"/>
              </w:rPr>
              <w:t>13,59,366</w:t>
            </w:r>
          </w:p>
        </w:tc>
      </w:tr>
      <w:tr w:rsidR="004C1CA7" w:rsidRPr="006D201D" w14:paraId="32ADE2B8"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1B303AF7"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2452D8CB" w14:textId="77777777" w:rsidR="004C1CA7" w:rsidRDefault="004C1CA7" w:rsidP="00040726">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1953AD07"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Balance with banks and money at call and short notice</w:t>
            </w:r>
          </w:p>
        </w:tc>
        <w:tc>
          <w:tcPr>
            <w:tcW w:w="1843" w:type="dxa"/>
            <w:gridSpan w:val="2"/>
            <w:tcBorders>
              <w:top w:val="nil"/>
              <w:left w:val="nil"/>
              <w:bottom w:val="single" w:sz="4" w:space="0" w:color="auto"/>
              <w:right w:val="single" w:sz="4" w:space="0" w:color="auto"/>
            </w:tcBorders>
            <w:vAlign w:val="center"/>
          </w:tcPr>
          <w:p w14:paraId="3A21B1BF" w14:textId="53FE887C" w:rsidR="004C1CA7" w:rsidRPr="006D201D" w:rsidRDefault="00B60EA6" w:rsidP="00040726">
            <w:pPr>
              <w:overflowPunct/>
              <w:autoSpaceDE/>
              <w:adjustRightInd/>
              <w:spacing w:line="276" w:lineRule="auto"/>
              <w:jc w:val="right"/>
              <w:rPr>
                <w:color w:val="000000"/>
                <w:sz w:val="24"/>
                <w:szCs w:val="24"/>
                <w:lang w:val="en-CA" w:eastAsia="en-CA"/>
              </w:rPr>
            </w:pPr>
            <w:r>
              <w:rPr>
                <w:color w:val="000000"/>
                <w:sz w:val="24"/>
                <w:szCs w:val="24"/>
              </w:rPr>
              <w:t>4,757,779</w:t>
            </w:r>
            <w:r w:rsidR="004C1CA7" w:rsidRPr="006D201D">
              <w:rPr>
                <w:color w:val="000000"/>
                <w:sz w:val="24"/>
                <w:szCs w:val="24"/>
              </w:rPr>
              <w:t xml:space="preserve"> </w:t>
            </w:r>
          </w:p>
        </w:tc>
        <w:tc>
          <w:tcPr>
            <w:tcW w:w="1558" w:type="dxa"/>
            <w:tcBorders>
              <w:top w:val="nil"/>
              <w:left w:val="nil"/>
              <w:bottom w:val="single" w:sz="4" w:space="0" w:color="auto"/>
              <w:right w:val="single" w:sz="4" w:space="0" w:color="auto"/>
            </w:tcBorders>
            <w:vAlign w:val="center"/>
          </w:tcPr>
          <w:p w14:paraId="39ACBBD0" w14:textId="2D9603D6" w:rsidR="004C1CA7" w:rsidRPr="006D201D" w:rsidRDefault="00B60EA6" w:rsidP="00040726">
            <w:pPr>
              <w:overflowPunct/>
              <w:autoSpaceDE/>
              <w:adjustRightInd/>
              <w:spacing w:line="276" w:lineRule="auto"/>
              <w:jc w:val="right"/>
              <w:rPr>
                <w:color w:val="000000"/>
                <w:sz w:val="24"/>
                <w:szCs w:val="24"/>
                <w:lang w:val="en-CA" w:eastAsia="en-CA"/>
              </w:rPr>
            </w:pPr>
            <w:r>
              <w:rPr>
                <w:color w:val="000000"/>
                <w:sz w:val="24"/>
                <w:szCs w:val="24"/>
              </w:rPr>
              <w:t>4,757,779</w:t>
            </w:r>
          </w:p>
        </w:tc>
      </w:tr>
      <w:tr w:rsidR="004C1CA7" w:rsidRPr="006D201D" w14:paraId="0BC851BA"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53DF839C"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vMerge w:val="restart"/>
            <w:tcBorders>
              <w:top w:val="nil"/>
              <w:left w:val="single" w:sz="4" w:space="0" w:color="auto"/>
              <w:bottom w:val="single" w:sz="4" w:space="0" w:color="auto"/>
              <w:right w:val="single" w:sz="4" w:space="0" w:color="auto"/>
            </w:tcBorders>
            <w:vAlign w:val="center"/>
            <w:hideMark/>
          </w:tcPr>
          <w:p w14:paraId="40C8DE8C" w14:textId="77777777" w:rsidR="004C1CA7" w:rsidRDefault="004C1CA7" w:rsidP="00040726">
            <w:pPr>
              <w:overflowPunct/>
              <w:autoSpaceDE/>
              <w:adjustRightInd/>
              <w:spacing w:line="276" w:lineRule="auto"/>
              <w:jc w:val="center"/>
              <w:rPr>
                <w:color w:val="000000"/>
                <w:sz w:val="24"/>
                <w:szCs w:val="24"/>
                <w:lang w:val="en-CA" w:eastAsia="en-CA"/>
              </w:rPr>
            </w:pPr>
            <w:r>
              <w:rPr>
                <w:color w:val="000000"/>
                <w:sz w:val="24"/>
                <w:szCs w:val="24"/>
                <w:lang w:val="en-CA" w:eastAsia="en-CA"/>
              </w:rPr>
              <w:t>ii.</w:t>
            </w:r>
          </w:p>
        </w:tc>
        <w:tc>
          <w:tcPr>
            <w:tcW w:w="5102" w:type="dxa"/>
            <w:gridSpan w:val="2"/>
            <w:tcBorders>
              <w:top w:val="nil"/>
              <w:left w:val="nil"/>
              <w:bottom w:val="single" w:sz="4" w:space="0" w:color="auto"/>
              <w:right w:val="single" w:sz="4" w:space="0" w:color="auto"/>
            </w:tcBorders>
            <w:vAlign w:val="center"/>
            <w:hideMark/>
          </w:tcPr>
          <w:p w14:paraId="750E89C2" w14:textId="77777777" w:rsidR="004C1CA7" w:rsidRPr="006D201D" w:rsidRDefault="004C1CA7" w:rsidP="00040726">
            <w:pPr>
              <w:overflowPunct/>
              <w:autoSpaceDE/>
              <w:adjustRightInd/>
              <w:spacing w:line="276" w:lineRule="auto"/>
              <w:rPr>
                <w:color w:val="000000"/>
                <w:sz w:val="24"/>
                <w:szCs w:val="24"/>
                <w:lang w:val="en-CA" w:eastAsia="en-CA"/>
              </w:rPr>
            </w:pPr>
            <w:proofErr w:type="gramStart"/>
            <w:r w:rsidRPr="006D201D">
              <w:rPr>
                <w:color w:val="000000"/>
                <w:sz w:val="24"/>
                <w:szCs w:val="24"/>
                <w:lang w:val="en-CA" w:eastAsia="en-CA"/>
              </w:rPr>
              <w:t>Investments :</w:t>
            </w:r>
            <w:proofErr w:type="gramEnd"/>
          </w:p>
        </w:tc>
        <w:tc>
          <w:tcPr>
            <w:tcW w:w="1843" w:type="dxa"/>
            <w:gridSpan w:val="2"/>
            <w:tcBorders>
              <w:top w:val="nil"/>
              <w:left w:val="nil"/>
              <w:bottom w:val="single" w:sz="4" w:space="0" w:color="auto"/>
              <w:right w:val="single" w:sz="4" w:space="0" w:color="auto"/>
            </w:tcBorders>
            <w:vAlign w:val="center"/>
          </w:tcPr>
          <w:p w14:paraId="49C7BCB4" w14:textId="0424FA43" w:rsidR="004C1CA7" w:rsidRPr="006D201D" w:rsidRDefault="00B60EA6" w:rsidP="00040726">
            <w:pPr>
              <w:overflowPunct/>
              <w:autoSpaceDE/>
              <w:adjustRightInd/>
              <w:spacing w:line="276" w:lineRule="auto"/>
              <w:jc w:val="right"/>
              <w:rPr>
                <w:color w:val="000000"/>
                <w:sz w:val="24"/>
                <w:szCs w:val="24"/>
                <w:lang w:val="en-CA" w:eastAsia="en-CA"/>
              </w:rPr>
            </w:pPr>
            <w:r>
              <w:rPr>
                <w:color w:val="000000"/>
                <w:sz w:val="24"/>
                <w:szCs w:val="24"/>
              </w:rPr>
              <w:t>33,631,059</w:t>
            </w:r>
            <w:r w:rsidR="004C1CA7" w:rsidRPr="006D201D">
              <w:rPr>
                <w:color w:val="000000"/>
                <w:sz w:val="24"/>
                <w:szCs w:val="24"/>
              </w:rPr>
              <w:t xml:space="preserve"> </w:t>
            </w:r>
          </w:p>
        </w:tc>
        <w:tc>
          <w:tcPr>
            <w:tcW w:w="1558" w:type="dxa"/>
            <w:tcBorders>
              <w:top w:val="nil"/>
              <w:left w:val="nil"/>
              <w:bottom w:val="single" w:sz="4" w:space="0" w:color="auto"/>
              <w:right w:val="single" w:sz="4" w:space="0" w:color="auto"/>
            </w:tcBorders>
            <w:vAlign w:val="center"/>
          </w:tcPr>
          <w:p w14:paraId="0E9F2E85" w14:textId="40378A98" w:rsidR="004C1CA7" w:rsidRPr="006D201D" w:rsidRDefault="005043B5" w:rsidP="00040726">
            <w:pPr>
              <w:overflowPunct/>
              <w:autoSpaceDE/>
              <w:adjustRightInd/>
              <w:spacing w:line="276" w:lineRule="auto"/>
              <w:jc w:val="right"/>
              <w:rPr>
                <w:color w:val="000000"/>
                <w:sz w:val="24"/>
                <w:szCs w:val="24"/>
                <w:lang w:val="en-CA" w:eastAsia="en-CA"/>
              </w:rPr>
            </w:pPr>
            <w:r>
              <w:rPr>
                <w:color w:val="000000"/>
                <w:sz w:val="24"/>
                <w:szCs w:val="24"/>
              </w:rPr>
              <w:t>33,631,059</w:t>
            </w:r>
          </w:p>
        </w:tc>
      </w:tr>
      <w:tr w:rsidR="004C1CA7" w:rsidRPr="006D201D" w14:paraId="08A47E4E"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1EF402E5"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121FD91F" w14:textId="77777777" w:rsidR="004C1CA7" w:rsidRDefault="004C1CA7" w:rsidP="00040726">
            <w:pPr>
              <w:overflowPunct/>
              <w:autoSpaceDE/>
              <w:autoSpaceDN/>
              <w:adjustRightInd/>
              <w:spacing w:line="276" w:lineRule="auto"/>
              <w:rPr>
                <w:color w:val="000000"/>
                <w:sz w:val="24"/>
                <w:szCs w:val="24"/>
                <w:lang w:val="en-CA" w:eastAsia="en-CA"/>
              </w:rPr>
            </w:pPr>
          </w:p>
        </w:tc>
        <w:tc>
          <w:tcPr>
            <w:tcW w:w="5102" w:type="dxa"/>
            <w:gridSpan w:val="2"/>
            <w:tcBorders>
              <w:top w:val="single" w:sz="4" w:space="0" w:color="auto"/>
              <w:left w:val="nil"/>
              <w:bottom w:val="single" w:sz="4" w:space="0" w:color="auto"/>
              <w:right w:val="single" w:sz="4" w:space="0" w:color="auto"/>
            </w:tcBorders>
            <w:vAlign w:val="center"/>
            <w:hideMark/>
          </w:tcPr>
          <w:p w14:paraId="6AD92A23"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Government securities </w:t>
            </w:r>
          </w:p>
        </w:tc>
        <w:tc>
          <w:tcPr>
            <w:tcW w:w="1843" w:type="dxa"/>
            <w:gridSpan w:val="2"/>
            <w:tcBorders>
              <w:top w:val="single" w:sz="4" w:space="0" w:color="auto"/>
              <w:left w:val="nil"/>
              <w:bottom w:val="single" w:sz="4" w:space="0" w:color="auto"/>
              <w:right w:val="single" w:sz="4" w:space="0" w:color="auto"/>
            </w:tcBorders>
            <w:vAlign w:val="center"/>
          </w:tcPr>
          <w:p w14:paraId="2832838B" w14:textId="3006C1DE" w:rsidR="004C1CA7" w:rsidRPr="006D201D" w:rsidRDefault="00BC0839" w:rsidP="00040726">
            <w:pPr>
              <w:overflowPunct/>
              <w:autoSpaceDE/>
              <w:adjustRightInd/>
              <w:spacing w:line="276" w:lineRule="auto"/>
              <w:jc w:val="right"/>
              <w:rPr>
                <w:color w:val="000000"/>
                <w:sz w:val="24"/>
                <w:szCs w:val="24"/>
                <w:lang w:val="en-CA" w:eastAsia="en-CA"/>
              </w:rPr>
            </w:pPr>
            <w:r>
              <w:rPr>
                <w:color w:val="000000"/>
                <w:sz w:val="24"/>
                <w:szCs w:val="24"/>
              </w:rPr>
              <w:t>33,</w:t>
            </w:r>
            <w:r w:rsidR="00837E58">
              <w:rPr>
                <w:color w:val="000000"/>
                <w:sz w:val="24"/>
                <w:szCs w:val="24"/>
              </w:rPr>
              <w:t>631</w:t>
            </w:r>
            <w:r>
              <w:rPr>
                <w:color w:val="000000"/>
                <w:sz w:val="24"/>
                <w:szCs w:val="24"/>
              </w:rPr>
              <w:t>,</w:t>
            </w:r>
            <w:r w:rsidR="00837E58">
              <w:rPr>
                <w:color w:val="000000"/>
                <w:sz w:val="24"/>
                <w:szCs w:val="24"/>
              </w:rPr>
              <w:t>059</w:t>
            </w:r>
            <w:r w:rsidR="00837E58" w:rsidRPr="006D201D">
              <w:rPr>
                <w:color w:val="000000"/>
                <w:sz w:val="24"/>
                <w:szCs w:val="24"/>
              </w:rPr>
              <w:t xml:space="preserve"> </w:t>
            </w:r>
          </w:p>
        </w:tc>
        <w:tc>
          <w:tcPr>
            <w:tcW w:w="1558" w:type="dxa"/>
            <w:tcBorders>
              <w:top w:val="single" w:sz="4" w:space="0" w:color="auto"/>
              <w:left w:val="nil"/>
              <w:bottom w:val="single" w:sz="4" w:space="0" w:color="auto"/>
              <w:right w:val="single" w:sz="4" w:space="0" w:color="auto"/>
            </w:tcBorders>
            <w:vAlign w:val="center"/>
          </w:tcPr>
          <w:p w14:paraId="34ED24AB" w14:textId="039AC209" w:rsidR="004C1CA7" w:rsidRPr="006D201D" w:rsidRDefault="00BC0839" w:rsidP="00040726">
            <w:pPr>
              <w:overflowPunct/>
              <w:autoSpaceDE/>
              <w:adjustRightInd/>
              <w:spacing w:line="276" w:lineRule="auto"/>
              <w:jc w:val="right"/>
              <w:rPr>
                <w:color w:val="000000"/>
                <w:sz w:val="24"/>
                <w:szCs w:val="24"/>
                <w:lang w:val="en-CA" w:eastAsia="en-CA"/>
              </w:rPr>
            </w:pPr>
            <w:r>
              <w:rPr>
                <w:color w:val="000000"/>
                <w:sz w:val="24"/>
                <w:szCs w:val="24"/>
              </w:rPr>
              <w:t>33,</w:t>
            </w:r>
            <w:r w:rsidR="00837E58">
              <w:rPr>
                <w:color w:val="000000"/>
                <w:sz w:val="24"/>
                <w:szCs w:val="24"/>
              </w:rPr>
              <w:t>631</w:t>
            </w:r>
            <w:r>
              <w:rPr>
                <w:color w:val="000000"/>
                <w:sz w:val="24"/>
                <w:szCs w:val="24"/>
              </w:rPr>
              <w:t>,</w:t>
            </w:r>
            <w:r w:rsidR="00837E58">
              <w:rPr>
                <w:color w:val="000000"/>
                <w:sz w:val="24"/>
                <w:szCs w:val="24"/>
              </w:rPr>
              <w:t>059</w:t>
            </w:r>
          </w:p>
        </w:tc>
      </w:tr>
      <w:tr w:rsidR="004C1CA7" w:rsidRPr="006D201D" w14:paraId="0419E4FE"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298E2312"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4CE42DE0" w14:textId="77777777" w:rsidR="004C1CA7" w:rsidRDefault="004C1CA7" w:rsidP="00040726">
            <w:pPr>
              <w:overflowPunct/>
              <w:autoSpaceDE/>
              <w:autoSpaceDN/>
              <w:adjustRightInd/>
              <w:spacing w:line="276" w:lineRule="auto"/>
              <w:rPr>
                <w:color w:val="000000"/>
                <w:sz w:val="24"/>
                <w:szCs w:val="24"/>
                <w:lang w:val="en-CA" w:eastAsia="en-CA"/>
              </w:rPr>
            </w:pPr>
          </w:p>
        </w:tc>
        <w:tc>
          <w:tcPr>
            <w:tcW w:w="5102" w:type="dxa"/>
            <w:gridSpan w:val="2"/>
            <w:tcBorders>
              <w:top w:val="single" w:sz="4" w:space="0" w:color="auto"/>
              <w:left w:val="nil"/>
              <w:bottom w:val="single" w:sz="4" w:space="0" w:color="auto"/>
              <w:right w:val="single" w:sz="4" w:space="0" w:color="auto"/>
            </w:tcBorders>
            <w:vAlign w:val="center"/>
            <w:hideMark/>
          </w:tcPr>
          <w:p w14:paraId="68C0B706"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Other approved securities</w:t>
            </w:r>
          </w:p>
        </w:tc>
        <w:tc>
          <w:tcPr>
            <w:tcW w:w="1843" w:type="dxa"/>
            <w:gridSpan w:val="2"/>
            <w:tcBorders>
              <w:top w:val="single" w:sz="4" w:space="0" w:color="auto"/>
              <w:left w:val="nil"/>
              <w:bottom w:val="single" w:sz="4" w:space="0" w:color="auto"/>
              <w:right w:val="single" w:sz="4" w:space="0" w:color="auto"/>
            </w:tcBorders>
            <w:vAlign w:val="center"/>
          </w:tcPr>
          <w:p w14:paraId="443A5A6A" w14:textId="77777777" w:rsidR="004C1CA7" w:rsidRPr="006D201D" w:rsidRDefault="004C1CA7" w:rsidP="00040726">
            <w:pPr>
              <w:overflowPunct/>
              <w:autoSpaceDE/>
              <w:adjustRightInd/>
              <w:spacing w:line="276" w:lineRule="auto"/>
              <w:jc w:val="right"/>
              <w:rPr>
                <w:color w:val="000000"/>
                <w:sz w:val="24"/>
                <w:szCs w:val="24"/>
                <w:lang w:val="en-CA" w:eastAsia="en-CA"/>
              </w:rPr>
            </w:pPr>
            <w:r w:rsidRPr="006D201D">
              <w:rPr>
                <w:color w:val="000000"/>
                <w:sz w:val="24"/>
                <w:szCs w:val="24"/>
              </w:rPr>
              <w:t xml:space="preserve"> - </w:t>
            </w:r>
          </w:p>
        </w:tc>
        <w:tc>
          <w:tcPr>
            <w:tcW w:w="1558" w:type="dxa"/>
            <w:tcBorders>
              <w:top w:val="single" w:sz="4" w:space="0" w:color="auto"/>
              <w:left w:val="nil"/>
              <w:bottom w:val="single" w:sz="4" w:space="0" w:color="auto"/>
              <w:right w:val="single" w:sz="4" w:space="0" w:color="auto"/>
            </w:tcBorders>
            <w:vAlign w:val="center"/>
          </w:tcPr>
          <w:p w14:paraId="0DAB6A4E" w14:textId="77777777" w:rsidR="004C1CA7" w:rsidRPr="006D201D" w:rsidRDefault="004C1CA7" w:rsidP="00040726">
            <w:pPr>
              <w:overflowPunct/>
              <w:autoSpaceDE/>
              <w:adjustRightInd/>
              <w:spacing w:line="276" w:lineRule="auto"/>
              <w:jc w:val="right"/>
              <w:rPr>
                <w:color w:val="000000"/>
                <w:sz w:val="24"/>
                <w:szCs w:val="24"/>
                <w:lang w:val="en-CA" w:eastAsia="en-CA"/>
              </w:rPr>
            </w:pPr>
            <w:r w:rsidRPr="006D201D">
              <w:rPr>
                <w:color w:val="000000"/>
                <w:sz w:val="24"/>
                <w:szCs w:val="24"/>
              </w:rPr>
              <w:t xml:space="preserve"> - </w:t>
            </w:r>
          </w:p>
        </w:tc>
      </w:tr>
      <w:tr w:rsidR="004C1CA7" w:rsidRPr="006D201D" w14:paraId="6D1E4227"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70728FA7"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75FE0063" w14:textId="77777777" w:rsidR="004C1CA7" w:rsidRDefault="004C1CA7" w:rsidP="00040726">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2C61C695"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Shares</w:t>
            </w:r>
          </w:p>
        </w:tc>
        <w:tc>
          <w:tcPr>
            <w:tcW w:w="1843" w:type="dxa"/>
            <w:gridSpan w:val="2"/>
            <w:tcBorders>
              <w:top w:val="nil"/>
              <w:left w:val="nil"/>
              <w:bottom w:val="single" w:sz="4" w:space="0" w:color="auto"/>
              <w:right w:val="single" w:sz="4" w:space="0" w:color="auto"/>
            </w:tcBorders>
            <w:vAlign w:val="center"/>
          </w:tcPr>
          <w:p w14:paraId="3E0C1C45" w14:textId="6312840C" w:rsidR="004C1CA7" w:rsidRPr="005F0E75" w:rsidRDefault="00837E58" w:rsidP="00040726">
            <w:pPr>
              <w:overflowPunct/>
              <w:autoSpaceDE/>
              <w:adjustRightInd/>
              <w:spacing w:line="276" w:lineRule="auto"/>
              <w:jc w:val="right"/>
              <w:rPr>
                <w:color w:val="FF0000"/>
                <w:sz w:val="24"/>
                <w:szCs w:val="24"/>
                <w:lang w:val="en-CA" w:eastAsia="en-CA"/>
              </w:rPr>
            </w:pPr>
            <w:r>
              <w:rPr>
                <w:color w:val="FF0000"/>
                <w:sz w:val="24"/>
                <w:szCs w:val="24"/>
              </w:rPr>
              <w:t>-</w:t>
            </w:r>
          </w:p>
        </w:tc>
        <w:tc>
          <w:tcPr>
            <w:tcW w:w="1558" w:type="dxa"/>
            <w:tcBorders>
              <w:top w:val="nil"/>
              <w:left w:val="nil"/>
              <w:bottom w:val="single" w:sz="4" w:space="0" w:color="auto"/>
              <w:right w:val="single" w:sz="4" w:space="0" w:color="auto"/>
            </w:tcBorders>
            <w:vAlign w:val="center"/>
          </w:tcPr>
          <w:p w14:paraId="71A54A3F" w14:textId="276CE059" w:rsidR="004C1CA7" w:rsidRPr="005F0E75" w:rsidRDefault="00837E58" w:rsidP="00040726">
            <w:pPr>
              <w:overflowPunct/>
              <w:autoSpaceDE/>
              <w:adjustRightInd/>
              <w:spacing w:line="276" w:lineRule="auto"/>
              <w:jc w:val="right"/>
              <w:rPr>
                <w:color w:val="FF0000"/>
                <w:sz w:val="24"/>
                <w:szCs w:val="24"/>
                <w:lang w:val="en-CA" w:eastAsia="en-CA"/>
              </w:rPr>
            </w:pPr>
            <w:r>
              <w:rPr>
                <w:color w:val="FF0000"/>
                <w:sz w:val="24"/>
                <w:szCs w:val="24"/>
              </w:rPr>
              <w:t>-</w:t>
            </w:r>
          </w:p>
        </w:tc>
      </w:tr>
      <w:tr w:rsidR="004C1CA7" w:rsidRPr="006D201D" w14:paraId="1CF44CDD"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3CDCC855"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7CFE2996" w14:textId="77777777" w:rsidR="004C1CA7" w:rsidRDefault="004C1CA7" w:rsidP="00040726">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3D8E4EFC"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Debentures &amp; Bonds</w:t>
            </w:r>
          </w:p>
        </w:tc>
        <w:tc>
          <w:tcPr>
            <w:tcW w:w="1843" w:type="dxa"/>
            <w:gridSpan w:val="2"/>
            <w:tcBorders>
              <w:top w:val="nil"/>
              <w:left w:val="nil"/>
              <w:bottom w:val="single" w:sz="4" w:space="0" w:color="auto"/>
              <w:right w:val="single" w:sz="4" w:space="0" w:color="auto"/>
            </w:tcBorders>
            <w:vAlign w:val="center"/>
          </w:tcPr>
          <w:p w14:paraId="1778FE2E" w14:textId="77777777" w:rsidR="004C1CA7" w:rsidRPr="006D201D" w:rsidRDefault="004C1CA7" w:rsidP="00040726">
            <w:pPr>
              <w:overflowPunct/>
              <w:autoSpaceDE/>
              <w:adjustRightInd/>
              <w:spacing w:line="276" w:lineRule="auto"/>
              <w:jc w:val="center"/>
              <w:rPr>
                <w:color w:val="000000"/>
                <w:sz w:val="24"/>
                <w:szCs w:val="24"/>
                <w:lang w:val="en-CA" w:eastAsia="en-CA"/>
              </w:rPr>
            </w:pPr>
            <w:r>
              <w:rPr>
                <w:color w:val="000000"/>
                <w:sz w:val="24"/>
                <w:szCs w:val="24"/>
                <w:lang w:val="en-CA" w:eastAsia="en-CA"/>
              </w:rPr>
              <w:t xml:space="preserve">                         </w:t>
            </w:r>
            <w:r w:rsidRPr="006D201D">
              <w:rPr>
                <w:color w:val="000000"/>
                <w:sz w:val="24"/>
                <w:szCs w:val="24"/>
                <w:lang w:val="en-CA" w:eastAsia="en-CA"/>
              </w:rPr>
              <w:t>-</w:t>
            </w:r>
          </w:p>
        </w:tc>
        <w:tc>
          <w:tcPr>
            <w:tcW w:w="1558" w:type="dxa"/>
            <w:tcBorders>
              <w:top w:val="nil"/>
              <w:left w:val="nil"/>
              <w:bottom w:val="single" w:sz="4" w:space="0" w:color="auto"/>
              <w:right w:val="single" w:sz="4" w:space="0" w:color="auto"/>
            </w:tcBorders>
            <w:vAlign w:val="center"/>
          </w:tcPr>
          <w:p w14:paraId="17BBDC04" w14:textId="77777777" w:rsidR="004C1CA7" w:rsidRPr="006D201D" w:rsidRDefault="004C1CA7" w:rsidP="00040726">
            <w:pPr>
              <w:overflowPunct/>
              <w:autoSpaceDE/>
              <w:adjustRightInd/>
              <w:spacing w:line="276" w:lineRule="auto"/>
              <w:jc w:val="right"/>
              <w:rPr>
                <w:color w:val="000000"/>
                <w:sz w:val="24"/>
                <w:szCs w:val="24"/>
                <w:lang w:val="en-CA" w:eastAsia="en-CA"/>
              </w:rPr>
            </w:pPr>
            <w:r w:rsidRPr="006D201D">
              <w:rPr>
                <w:color w:val="000000"/>
                <w:sz w:val="24"/>
                <w:szCs w:val="24"/>
              </w:rPr>
              <w:t>-</w:t>
            </w:r>
          </w:p>
        </w:tc>
      </w:tr>
      <w:tr w:rsidR="004C1CA7" w:rsidRPr="006D201D" w14:paraId="0D23A094"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633571BB"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1458FCA9" w14:textId="77777777" w:rsidR="004C1CA7" w:rsidRDefault="004C1CA7" w:rsidP="00040726">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34E19E2F"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Subsidiaries / Joint Ventures / Associates</w:t>
            </w:r>
          </w:p>
        </w:tc>
        <w:tc>
          <w:tcPr>
            <w:tcW w:w="1843" w:type="dxa"/>
            <w:gridSpan w:val="2"/>
            <w:tcBorders>
              <w:top w:val="nil"/>
              <w:left w:val="nil"/>
              <w:bottom w:val="single" w:sz="4" w:space="0" w:color="auto"/>
              <w:right w:val="single" w:sz="4" w:space="0" w:color="auto"/>
            </w:tcBorders>
            <w:vAlign w:val="center"/>
          </w:tcPr>
          <w:p w14:paraId="4E7E5328" w14:textId="77777777" w:rsidR="004C1CA7" w:rsidRPr="006D201D" w:rsidRDefault="004C1CA7" w:rsidP="00040726">
            <w:pPr>
              <w:overflowPunct/>
              <w:autoSpaceDE/>
              <w:adjustRightInd/>
              <w:spacing w:line="276" w:lineRule="auto"/>
              <w:jc w:val="right"/>
              <w:rPr>
                <w:color w:val="000000"/>
                <w:sz w:val="24"/>
                <w:szCs w:val="24"/>
                <w:lang w:val="en-CA" w:eastAsia="en-CA"/>
              </w:rPr>
            </w:pPr>
            <w:r w:rsidRPr="006D201D">
              <w:rPr>
                <w:color w:val="000000"/>
                <w:sz w:val="24"/>
                <w:szCs w:val="24"/>
              </w:rPr>
              <w:t xml:space="preserve"> - </w:t>
            </w:r>
          </w:p>
        </w:tc>
        <w:tc>
          <w:tcPr>
            <w:tcW w:w="1558" w:type="dxa"/>
            <w:tcBorders>
              <w:top w:val="nil"/>
              <w:left w:val="nil"/>
              <w:bottom w:val="single" w:sz="4" w:space="0" w:color="auto"/>
              <w:right w:val="single" w:sz="4" w:space="0" w:color="auto"/>
            </w:tcBorders>
            <w:vAlign w:val="center"/>
          </w:tcPr>
          <w:p w14:paraId="5F48F674" w14:textId="77777777" w:rsidR="004C1CA7" w:rsidRPr="006D201D" w:rsidRDefault="004C1CA7" w:rsidP="00040726">
            <w:pPr>
              <w:overflowPunct/>
              <w:autoSpaceDE/>
              <w:adjustRightInd/>
              <w:spacing w:line="276" w:lineRule="auto"/>
              <w:jc w:val="right"/>
              <w:rPr>
                <w:color w:val="000000"/>
                <w:sz w:val="24"/>
                <w:szCs w:val="24"/>
                <w:lang w:val="en-CA" w:eastAsia="en-CA"/>
              </w:rPr>
            </w:pPr>
            <w:r w:rsidRPr="006D201D">
              <w:rPr>
                <w:color w:val="000000"/>
                <w:sz w:val="24"/>
                <w:szCs w:val="24"/>
              </w:rPr>
              <w:t>-</w:t>
            </w:r>
          </w:p>
        </w:tc>
      </w:tr>
      <w:tr w:rsidR="004C1CA7" w:rsidRPr="006D201D" w14:paraId="33F20F5A" w14:textId="77777777" w:rsidTr="00040726">
        <w:trPr>
          <w:gridBefore w:val="1"/>
          <w:gridAfter w:val="1"/>
          <w:wBefore w:w="17" w:type="dxa"/>
          <w:wAfter w:w="33" w:type="dxa"/>
          <w:trHeight w:val="630"/>
        </w:trPr>
        <w:tc>
          <w:tcPr>
            <w:tcW w:w="708" w:type="dxa"/>
            <w:vMerge/>
            <w:tcBorders>
              <w:top w:val="nil"/>
              <w:left w:val="single" w:sz="4" w:space="0" w:color="auto"/>
              <w:bottom w:val="single" w:sz="4" w:space="0" w:color="000000"/>
              <w:right w:val="single" w:sz="4" w:space="0" w:color="auto"/>
            </w:tcBorders>
            <w:vAlign w:val="center"/>
            <w:hideMark/>
          </w:tcPr>
          <w:p w14:paraId="2AD3F87A"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20F02854" w14:textId="77777777" w:rsidR="004C1CA7" w:rsidRDefault="004C1CA7" w:rsidP="00040726">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3847E759"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Others (Commercial Papers, Mutual Funds etc.)</w:t>
            </w:r>
          </w:p>
        </w:tc>
        <w:tc>
          <w:tcPr>
            <w:tcW w:w="1843" w:type="dxa"/>
            <w:gridSpan w:val="2"/>
            <w:tcBorders>
              <w:top w:val="nil"/>
              <w:left w:val="nil"/>
              <w:bottom w:val="single" w:sz="4" w:space="0" w:color="auto"/>
              <w:right w:val="single" w:sz="4" w:space="0" w:color="auto"/>
            </w:tcBorders>
            <w:vAlign w:val="center"/>
          </w:tcPr>
          <w:p w14:paraId="39830A17" w14:textId="77777777" w:rsidR="004C1CA7" w:rsidRPr="006D201D" w:rsidRDefault="004C1CA7" w:rsidP="00040726">
            <w:pPr>
              <w:overflowPunct/>
              <w:autoSpaceDE/>
              <w:adjustRightInd/>
              <w:spacing w:line="276" w:lineRule="auto"/>
              <w:jc w:val="right"/>
              <w:rPr>
                <w:color w:val="000000"/>
                <w:sz w:val="24"/>
                <w:szCs w:val="24"/>
                <w:lang w:val="en-CA" w:eastAsia="en-CA"/>
              </w:rPr>
            </w:pPr>
            <w:r w:rsidRPr="006D201D">
              <w:rPr>
                <w:color w:val="000000"/>
                <w:sz w:val="24"/>
                <w:szCs w:val="24"/>
              </w:rPr>
              <w:t xml:space="preserve">                      -   </w:t>
            </w:r>
          </w:p>
        </w:tc>
        <w:tc>
          <w:tcPr>
            <w:tcW w:w="1558" w:type="dxa"/>
            <w:tcBorders>
              <w:top w:val="nil"/>
              <w:left w:val="nil"/>
              <w:bottom w:val="single" w:sz="4" w:space="0" w:color="auto"/>
              <w:right w:val="single" w:sz="4" w:space="0" w:color="auto"/>
            </w:tcBorders>
            <w:vAlign w:val="center"/>
          </w:tcPr>
          <w:p w14:paraId="7326D624" w14:textId="77777777" w:rsidR="004C1CA7" w:rsidRPr="006D201D" w:rsidRDefault="004C1CA7" w:rsidP="00040726">
            <w:pPr>
              <w:overflowPunct/>
              <w:autoSpaceDE/>
              <w:adjustRightInd/>
              <w:spacing w:line="276" w:lineRule="auto"/>
              <w:jc w:val="right"/>
              <w:rPr>
                <w:color w:val="000000"/>
                <w:sz w:val="24"/>
                <w:szCs w:val="24"/>
                <w:lang w:val="en-CA" w:eastAsia="en-CA"/>
              </w:rPr>
            </w:pPr>
            <w:r w:rsidRPr="006D201D">
              <w:rPr>
                <w:color w:val="000000"/>
                <w:sz w:val="24"/>
                <w:szCs w:val="24"/>
              </w:rPr>
              <w:t>-</w:t>
            </w:r>
          </w:p>
        </w:tc>
      </w:tr>
      <w:tr w:rsidR="004C1CA7" w:rsidRPr="006D201D" w14:paraId="146753D8"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6843B54D"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vMerge w:val="restart"/>
            <w:tcBorders>
              <w:top w:val="nil"/>
              <w:left w:val="single" w:sz="4" w:space="0" w:color="auto"/>
              <w:bottom w:val="single" w:sz="4" w:space="0" w:color="auto"/>
              <w:right w:val="single" w:sz="4" w:space="0" w:color="auto"/>
            </w:tcBorders>
            <w:vAlign w:val="center"/>
            <w:hideMark/>
          </w:tcPr>
          <w:p w14:paraId="088F415D" w14:textId="77777777" w:rsidR="004C1CA7" w:rsidRDefault="004C1CA7" w:rsidP="00040726">
            <w:pPr>
              <w:overflowPunct/>
              <w:autoSpaceDE/>
              <w:adjustRightInd/>
              <w:spacing w:line="276" w:lineRule="auto"/>
              <w:jc w:val="center"/>
              <w:rPr>
                <w:color w:val="000000"/>
                <w:sz w:val="24"/>
                <w:szCs w:val="24"/>
                <w:lang w:val="en-CA" w:eastAsia="en-CA"/>
              </w:rPr>
            </w:pPr>
            <w:r>
              <w:rPr>
                <w:color w:val="000000"/>
                <w:sz w:val="24"/>
                <w:szCs w:val="24"/>
                <w:lang w:val="en-CA" w:eastAsia="en-CA"/>
              </w:rPr>
              <w:t>iii.</w:t>
            </w:r>
          </w:p>
        </w:tc>
        <w:tc>
          <w:tcPr>
            <w:tcW w:w="5102" w:type="dxa"/>
            <w:gridSpan w:val="2"/>
            <w:tcBorders>
              <w:top w:val="nil"/>
              <w:left w:val="nil"/>
              <w:bottom w:val="single" w:sz="4" w:space="0" w:color="auto"/>
              <w:right w:val="single" w:sz="4" w:space="0" w:color="auto"/>
            </w:tcBorders>
            <w:vAlign w:val="center"/>
            <w:hideMark/>
          </w:tcPr>
          <w:p w14:paraId="7ACB3FF5"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Loans and advances</w:t>
            </w:r>
          </w:p>
        </w:tc>
        <w:tc>
          <w:tcPr>
            <w:tcW w:w="1843" w:type="dxa"/>
            <w:gridSpan w:val="2"/>
            <w:tcBorders>
              <w:top w:val="nil"/>
              <w:left w:val="nil"/>
              <w:bottom w:val="single" w:sz="4" w:space="0" w:color="auto"/>
              <w:right w:val="single" w:sz="4" w:space="0" w:color="auto"/>
            </w:tcBorders>
            <w:vAlign w:val="center"/>
          </w:tcPr>
          <w:p w14:paraId="62619C87" w14:textId="0BC441CF" w:rsidR="004C1CA7" w:rsidRPr="006D201D" w:rsidRDefault="00BC0839" w:rsidP="00040726">
            <w:pPr>
              <w:overflowPunct/>
              <w:autoSpaceDE/>
              <w:adjustRightInd/>
              <w:spacing w:line="276" w:lineRule="auto"/>
              <w:jc w:val="right"/>
              <w:rPr>
                <w:color w:val="000000"/>
                <w:sz w:val="24"/>
                <w:szCs w:val="24"/>
                <w:lang w:val="en-CA" w:eastAsia="en-CA"/>
              </w:rPr>
            </w:pPr>
            <w:r>
              <w:rPr>
                <w:color w:val="000000"/>
                <w:sz w:val="24"/>
                <w:szCs w:val="24"/>
              </w:rPr>
              <w:t>7,309,240</w:t>
            </w:r>
          </w:p>
        </w:tc>
        <w:tc>
          <w:tcPr>
            <w:tcW w:w="1558" w:type="dxa"/>
            <w:tcBorders>
              <w:top w:val="nil"/>
              <w:left w:val="nil"/>
              <w:bottom w:val="single" w:sz="4" w:space="0" w:color="auto"/>
              <w:right w:val="single" w:sz="4" w:space="0" w:color="auto"/>
            </w:tcBorders>
            <w:vAlign w:val="center"/>
          </w:tcPr>
          <w:p w14:paraId="55BED111" w14:textId="50859DC3" w:rsidR="004C1CA7" w:rsidRPr="006D201D" w:rsidRDefault="00BC0839" w:rsidP="00040726">
            <w:pPr>
              <w:overflowPunct/>
              <w:autoSpaceDE/>
              <w:adjustRightInd/>
              <w:spacing w:line="276" w:lineRule="auto"/>
              <w:jc w:val="right"/>
              <w:rPr>
                <w:color w:val="000000"/>
                <w:sz w:val="24"/>
                <w:szCs w:val="24"/>
                <w:lang w:val="en-CA" w:eastAsia="en-CA"/>
              </w:rPr>
            </w:pPr>
            <w:r>
              <w:rPr>
                <w:color w:val="000000"/>
                <w:sz w:val="24"/>
                <w:szCs w:val="24"/>
              </w:rPr>
              <w:t>7,309,240</w:t>
            </w:r>
          </w:p>
        </w:tc>
      </w:tr>
      <w:tr w:rsidR="004C1CA7" w:rsidRPr="006D201D" w14:paraId="3855A556"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5B0830B3"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64413BCF" w14:textId="77777777" w:rsidR="004C1CA7" w:rsidRDefault="004C1CA7" w:rsidP="00040726">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35A06CE9"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Loans and advances to banks</w:t>
            </w:r>
          </w:p>
        </w:tc>
        <w:tc>
          <w:tcPr>
            <w:tcW w:w="1843" w:type="dxa"/>
            <w:gridSpan w:val="2"/>
            <w:tcBorders>
              <w:top w:val="nil"/>
              <w:left w:val="nil"/>
              <w:bottom w:val="single" w:sz="4" w:space="0" w:color="auto"/>
              <w:right w:val="single" w:sz="4" w:space="0" w:color="auto"/>
            </w:tcBorders>
            <w:vAlign w:val="center"/>
          </w:tcPr>
          <w:p w14:paraId="667EF205" w14:textId="687EC95F" w:rsidR="004C1CA7" w:rsidRPr="006D201D" w:rsidRDefault="009C597E" w:rsidP="00040726">
            <w:pPr>
              <w:overflowPunct/>
              <w:autoSpaceDE/>
              <w:adjustRightInd/>
              <w:spacing w:line="276" w:lineRule="auto"/>
              <w:jc w:val="right"/>
              <w:rPr>
                <w:color w:val="000000"/>
                <w:sz w:val="24"/>
                <w:szCs w:val="24"/>
                <w:lang w:val="en-CA" w:eastAsia="en-CA"/>
              </w:rPr>
            </w:pPr>
            <w:r>
              <w:rPr>
                <w:color w:val="000000"/>
                <w:sz w:val="24"/>
                <w:szCs w:val="24"/>
              </w:rPr>
              <w:t>316,089</w:t>
            </w:r>
            <w:r w:rsidR="004C1CA7" w:rsidRPr="006D201D">
              <w:rPr>
                <w:color w:val="000000"/>
                <w:sz w:val="24"/>
                <w:szCs w:val="24"/>
              </w:rPr>
              <w:t xml:space="preserve"> </w:t>
            </w:r>
          </w:p>
        </w:tc>
        <w:tc>
          <w:tcPr>
            <w:tcW w:w="1558" w:type="dxa"/>
            <w:tcBorders>
              <w:top w:val="nil"/>
              <w:left w:val="nil"/>
              <w:bottom w:val="single" w:sz="4" w:space="0" w:color="auto"/>
              <w:right w:val="single" w:sz="4" w:space="0" w:color="auto"/>
            </w:tcBorders>
            <w:vAlign w:val="center"/>
          </w:tcPr>
          <w:p w14:paraId="2F179FAE" w14:textId="0BD16CFB" w:rsidR="004C1CA7" w:rsidRPr="006D201D" w:rsidRDefault="009C597E" w:rsidP="00040726">
            <w:pPr>
              <w:overflowPunct/>
              <w:autoSpaceDE/>
              <w:adjustRightInd/>
              <w:spacing w:line="276" w:lineRule="auto"/>
              <w:jc w:val="right"/>
              <w:rPr>
                <w:color w:val="000000"/>
                <w:sz w:val="24"/>
                <w:szCs w:val="24"/>
                <w:lang w:val="en-CA" w:eastAsia="en-CA"/>
              </w:rPr>
            </w:pPr>
            <w:r>
              <w:rPr>
                <w:color w:val="000000"/>
                <w:sz w:val="24"/>
                <w:szCs w:val="24"/>
              </w:rPr>
              <w:t>316,089</w:t>
            </w:r>
          </w:p>
        </w:tc>
      </w:tr>
      <w:tr w:rsidR="004C1CA7" w:rsidRPr="006D201D" w14:paraId="5D65736D"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48B4A6E3"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557339B7" w14:textId="77777777" w:rsidR="004C1CA7" w:rsidRDefault="004C1CA7" w:rsidP="00040726">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407A06DC"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Loans and advances to customers</w:t>
            </w:r>
          </w:p>
        </w:tc>
        <w:tc>
          <w:tcPr>
            <w:tcW w:w="1843" w:type="dxa"/>
            <w:gridSpan w:val="2"/>
            <w:tcBorders>
              <w:top w:val="nil"/>
              <w:left w:val="nil"/>
              <w:bottom w:val="single" w:sz="4" w:space="0" w:color="auto"/>
              <w:right w:val="single" w:sz="4" w:space="0" w:color="auto"/>
            </w:tcBorders>
            <w:vAlign w:val="center"/>
          </w:tcPr>
          <w:p w14:paraId="2465F68C" w14:textId="37F93427" w:rsidR="004C1CA7" w:rsidRPr="006D201D" w:rsidRDefault="009C597E" w:rsidP="00040726">
            <w:pPr>
              <w:overflowPunct/>
              <w:autoSpaceDE/>
              <w:adjustRightInd/>
              <w:spacing w:line="276" w:lineRule="auto"/>
              <w:jc w:val="right"/>
              <w:rPr>
                <w:color w:val="000000"/>
                <w:sz w:val="24"/>
                <w:szCs w:val="24"/>
                <w:lang w:val="en-CA" w:eastAsia="en-CA"/>
              </w:rPr>
            </w:pPr>
            <w:r>
              <w:rPr>
                <w:color w:val="000000"/>
                <w:sz w:val="24"/>
                <w:szCs w:val="24"/>
              </w:rPr>
              <w:t>6,993,151</w:t>
            </w:r>
            <w:r w:rsidR="004C1CA7" w:rsidRPr="006D201D">
              <w:rPr>
                <w:color w:val="000000"/>
                <w:sz w:val="24"/>
                <w:szCs w:val="24"/>
              </w:rPr>
              <w:t xml:space="preserve"> </w:t>
            </w:r>
          </w:p>
        </w:tc>
        <w:tc>
          <w:tcPr>
            <w:tcW w:w="1558" w:type="dxa"/>
            <w:tcBorders>
              <w:top w:val="nil"/>
              <w:left w:val="nil"/>
              <w:bottom w:val="single" w:sz="4" w:space="0" w:color="auto"/>
              <w:right w:val="single" w:sz="4" w:space="0" w:color="auto"/>
            </w:tcBorders>
            <w:vAlign w:val="center"/>
          </w:tcPr>
          <w:p w14:paraId="76B01D6A" w14:textId="1952DCE8" w:rsidR="004C1CA7" w:rsidRPr="006D201D" w:rsidRDefault="009C597E" w:rsidP="00040726">
            <w:pPr>
              <w:overflowPunct/>
              <w:autoSpaceDE/>
              <w:adjustRightInd/>
              <w:spacing w:line="276" w:lineRule="auto"/>
              <w:jc w:val="right"/>
              <w:rPr>
                <w:color w:val="000000"/>
                <w:sz w:val="24"/>
                <w:szCs w:val="24"/>
                <w:lang w:val="en-CA" w:eastAsia="en-CA"/>
              </w:rPr>
            </w:pPr>
            <w:r>
              <w:rPr>
                <w:color w:val="000000"/>
                <w:sz w:val="24"/>
                <w:szCs w:val="24"/>
              </w:rPr>
              <w:t>6,993,151</w:t>
            </w:r>
          </w:p>
        </w:tc>
      </w:tr>
      <w:tr w:rsidR="004C1CA7" w:rsidRPr="006D201D" w14:paraId="45F242BE"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180A099F"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vMerge w:val="restart"/>
            <w:tcBorders>
              <w:top w:val="nil"/>
              <w:left w:val="single" w:sz="4" w:space="0" w:color="auto"/>
              <w:bottom w:val="single" w:sz="4" w:space="0" w:color="000000"/>
              <w:right w:val="single" w:sz="4" w:space="0" w:color="auto"/>
            </w:tcBorders>
            <w:vAlign w:val="center"/>
            <w:hideMark/>
          </w:tcPr>
          <w:p w14:paraId="541FD740" w14:textId="77777777" w:rsidR="004C1CA7" w:rsidRDefault="004C1CA7" w:rsidP="00040726">
            <w:pPr>
              <w:overflowPunct/>
              <w:autoSpaceDE/>
              <w:adjustRightInd/>
              <w:spacing w:line="276" w:lineRule="auto"/>
              <w:jc w:val="center"/>
              <w:rPr>
                <w:color w:val="000000"/>
                <w:sz w:val="24"/>
                <w:szCs w:val="24"/>
                <w:lang w:val="en-CA" w:eastAsia="en-CA"/>
              </w:rPr>
            </w:pPr>
            <w:r>
              <w:rPr>
                <w:color w:val="000000"/>
                <w:sz w:val="24"/>
                <w:szCs w:val="24"/>
                <w:lang w:val="en-CA" w:eastAsia="en-CA"/>
              </w:rPr>
              <w:t>iv.</w:t>
            </w:r>
          </w:p>
        </w:tc>
        <w:tc>
          <w:tcPr>
            <w:tcW w:w="5102" w:type="dxa"/>
            <w:gridSpan w:val="2"/>
            <w:tcBorders>
              <w:top w:val="nil"/>
              <w:left w:val="nil"/>
              <w:bottom w:val="single" w:sz="4" w:space="0" w:color="auto"/>
              <w:right w:val="single" w:sz="4" w:space="0" w:color="auto"/>
            </w:tcBorders>
            <w:vAlign w:val="center"/>
            <w:hideMark/>
          </w:tcPr>
          <w:p w14:paraId="64919ED2"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Fixed assets</w:t>
            </w:r>
          </w:p>
        </w:tc>
        <w:tc>
          <w:tcPr>
            <w:tcW w:w="1843" w:type="dxa"/>
            <w:gridSpan w:val="2"/>
            <w:tcBorders>
              <w:top w:val="nil"/>
              <w:left w:val="nil"/>
              <w:bottom w:val="single" w:sz="4" w:space="0" w:color="auto"/>
              <w:right w:val="single" w:sz="4" w:space="0" w:color="auto"/>
            </w:tcBorders>
            <w:vAlign w:val="center"/>
          </w:tcPr>
          <w:p w14:paraId="4186BFB2" w14:textId="29007EF6" w:rsidR="004C1CA7" w:rsidRPr="006D201D" w:rsidRDefault="009C597E" w:rsidP="00040726">
            <w:pPr>
              <w:overflowPunct/>
              <w:autoSpaceDE/>
              <w:adjustRightInd/>
              <w:spacing w:line="276" w:lineRule="auto"/>
              <w:jc w:val="right"/>
              <w:rPr>
                <w:color w:val="000000"/>
                <w:sz w:val="24"/>
                <w:szCs w:val="24"/>
                <w:lang w:val="en-CA" w:eastAsia="en-CA"/>
              </w:rPr>
            </w:pPr>
            <w:r>
              <w:rPr>
                <w:color w:val="000000"/>
                <w:sz w:val="24"/>
                <w:szCs w:val="24"/>
              </w:rPr>
              <w:t>34,018</w:t>
            </w:r>
            <w:r w:rsidR="004C1CA7" w:rsidRPr="006D201D">
              <w:rPr>
                <w:color w:val="000000"/>
                <w:sz w:val="24"/>
                <w:szCs w:val="24"/>
              </w:rPr>
              <w:t xml:space="preserve"> </w:t>
            </w:r>
          </w:p>
        </w:tc>
        <w:tc>
          <w:tcPr>
            <w:tcW w:w="1558" w:type="dxa"/>
            <w:tcBorders>
              <w:top w:val="nil"/>
              <w:left w:val="nil"/>
              <w:bottom w:val="single" w:sz="4" w:space="0" w:color="auto"/>
              <w:right w:val="single" w:sz="4" w:space="0" w:color="auto"/>
            </w:tcBorders>
            <w:vAlign w:val="center"/>
          </w:tcPr>
          <w:p w14:paraId="6974EE99" w14:textId="2BF9C795" w:rsidR="004C1CA7" w:rsidRPr="006D201D" w:rsidRDefault="009C597E" w:rsidP="00040726">
            <w:pPr>
              <w:overflowPunct/>
              <w:autoSpaceDE/>
              <w:adjustRightInd/>
              <w:spacing w:line="276" w:lineRule="auto"/>
              <w:jc w:val="right"/>
              <w:rPr>
                <w:color w:val="000000"/>
                <w:sz w:val="24"/>
                <w:szCs w:val="24"/>
                <w:lang w:val="en-CA" w:eastAsia="en-CA"/>
              </w:rPr>
            </w:pPr>
            <w:r>
              <w:rPr>
                <w:color w:val="000000"/>
                <w:sz w:val="24"/>
                <w:szCs w:val="24"/>
              </w:rPr>
              <w:t>34,018</w:t>
            </w:r>
          </w:p>
        </w:tc>
      </w:tr>
      <w:tr w:rsidR="004C1CA7" w:rsidRPr="006D201D" w14:paraId="6E4012C2"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79F740B9"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000000"/>
              <w:right w:val="single" w:sz="4" w:space="0" w:color="auto"/>
            </w:tcBorders>
            <w:vAlign w:val="center"/>
            <w:hideMark/>
          </w:tcPr>
          <w:p w14:paraId="1D7AE0E9" w14:textId="77777777" w:rsidR="004C1CA7" w:rsidRDefault="004C1CA7" w:rsidP="00040726">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0E130D1C"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Goodwill and intangible assets</w:t>
            </w:r>
          </w:p>
        </w:tc>
        <w:tc>
          <w:tcPr>
            <w:tcW w:w="1843" w:type="dxa"/>
            <w:gridSpan w:val="2"/>
            <w:tcBorders>
              <w:top w:val="nil"/>
              <w:left w:val="nil"/>
              <w:bottom w:val="single" w:sz="4" w:space="0" w:color="auto"/>
              <w:right w:val="single" w:sz="4" w:space="0" w:color="auto"/>
            </w:tcBorders>
            <w:vAlign w:val="center"/>
          </w:tcPr>
          <w:p w14:paraId="0BEAA312" w14:textId="3200E7A7" w:rsidR="004C1CA7" w:rsidRPr="006D201D" w:rsidRDefault="002108D8" w:rsidP="00040726">
            <w:pPr>
              <w:overflowPunct/>
              <w:autoSpaceDE/>
              <w:adjustRightInd/>
              <w:spacing w:line="276" w:lineRule="auto"/>
              <w:jc w:val="right"/>
              <w:rPr>
                <w:color w:val="000000"/>
                <w:sz w:val="24"/>
                <w:szCs w:val="24"/>
                <w:lang w:val="en-CA" w:eastAsia="en-CA"/>
              </w:rPr>
            </w:pPr>
            <w:r>
              <w:rPr>
                <w:color w:val="000000"/>
                <w:sz w:val="24"/>
                <w:szCs w:val="24"/>
              </w:rPr>
              <w:t>2,559</w:t>
            </w:r>
          </w:p>
        </w:tc>
        <w:tc>
          <w:tcPr>
            <w:tcW w:w="1558" w:type="dxa"/>
            <w:tcBorders>
              <w:top w:val="nil"/>
              <w:left w:val="nil"/>
              <w:bottom w:val="single" w:sz="4" w:space="0" w:color="auto"/>
              <w:right w:val="single" w:sz="4" w:space="0" w:color="auto"/>
            </w:tcBorders>
            <w:vAlign w:val="center"/>
          </w:tcPr>
          <w:p w14:paraId="437EB059" w14:textId="2D43DA03" w:rsidR="004C1CA7" w:rsidRPr="006D201D" w:rsidRDefault="002108D8" w:rsidP="00040726">
            <w:pPr>
              <w:overflowPunct/>
              <w:autoSpaceDE/>
              <w:adjustRightInd/>
              <w:spacing w:line="276" w:lineRule="auto"/>
              <w:jc w:val="right"/>
              <w:rPr>
                <w:color w:val="000000"/>
                <w:sz w:val="24"/>
                <w:szCs w:val="24"/>
                <w:lang w:val="en-CA" w:eastAsia="en-CA"/>
              </w:rPr>
            </w:pPr>
            <w:r>
              <w:rPr>
                <w:color w:val="000000"/>
                <w:sz w:val="24"/>
                <w:szCs w:val="24"/>
              </w:rPr>
              <w:t>2,559</w:t>
            </w:r>
          </w:p>
        </w:tc>
      </w:tr>
      <w:tr w:rsidR="004C1CA7" w:rsidRPr="006D201D" w14:paraId="24C13C32"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2B1C80CF"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vMerge w:val="restart"/>
            <w:tcBorders>
              <w:top w:val="nil"/>
              <w:left w:val="single" w:sz="4" w:space="0" w:color="auto"/>
              <w:bottom w:val="single" w:sz="4" w:space="0" w:color="auto"/>
              <w:right w:val="single" w:sz="4" w:space="0" w:color="auto"/>
            </w:tcBorders>
            <w:vAlign w:val="center"/>
            <w:hideMark/>
          </w:tcPr>
          <w:p w14:paraId="7F864110" w14:textId="77777777" w:rsidR="004C1CA7" w:rsidRDefault="004C1CA7" w:rsidP="00040726">
            <w:pPr>
              <w:overflowPunct/>
              <w:autoSpaceDE/>
              <w:adjustRightInd/>
              <w:spacing w:line="276" w:lineRule="auto"/>
              <w:jc w:val="center"/>
              <w:rPr>
                <w:color w:val="000000"/>
                <w:sz w:val="24"/>
                <w:szCs w:val="24"/>
                <w:lang w:val="en-CA" w:eastAsia="en-CA"/>
              </w:rPr>
            </w:pPr>
            <w:r>
              <w:rPr>
                <w:color w:val="000000"/>
                <w:sz w:val="24"/>
                <w:szCs w:val="24"/>
                <w:lang w:val="en-CA" w:eastAsia="en-CA"/>
              </w:rPr>
              <w:t>v.</w:t>
            </w:r>
          </w:p>
        </w:tc>
        <w:tc>
          <w:tcPr>
            <w:tcW w:w="5102" w:type="dxa"/>
            <w:gridSpan w:val="2"/>
            <w:tcBorders>
              <w:top w:val="nil"/>
              <w:left w:val="nil"/>
              <w:bottom w:val="single" w:sz="4" w:space="0" w:color="auto"/>
              <w:right w:val="single" w:sz="4" w:space="0" w:color="auto"/>
            </w:tcBorders>
            <w:vAlign w:val="center"/>
            <w:hideMark/>
          </w:tcPr>
          <w:p w14:paraId="5C7B0809"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Other assets</w:t>
            </w:r>
          </w:p>
        </w:tc>
        <w:tc>
          <w:tcPr>
            <w:tcW w:w="1843" w:type="dxa"/>
            <w:gridSpan w:val="2"/>
            <w:tcBorders>
              <w:top w:val="nil"/>
              <w:left w:val="nil"/>
              <w:bottom w:val="single" w:sz="4" w:space="0" w:color="auto"/>
              <w:right w:val="single" w:sz="4" w:space="0" w:color="auto"/>
            </w:tcBorders>
            <w:vAlign w:val="center"/>
          </w:tcPr>
          <w:p w14:paraId="76F0199B" w14:textId="678FCE8C" w:rsidR="004C1CA7" w:rsidRPr="006D201D" w:rsidRDefault="002108D8" w:rsidP="00040726">
            <w:pPr>
              <w:overflowPunct/>
              <w:autoSpaceDE/>
              <w:adjustRightInd/>
              <w:spacing w:line="276" w:lineRule="auto"/>
              <w:jc w:val="right"/>
              <w:rPr>
                <w:color w:val="000000"/>
                <w:sz w:val="24"/>
                <w:szCs w:val="24"/>
                <w:lang w:val="en-CA" w:eastAsia="en-CA"/>
              </w:rPr>
            </w:pPr>
            <w:r>
              <w:rPr>
                <w:color w:val="000000"/>
                <w:sz w:val="24"/>
                <w:szCs w:val="24"/>
              </w:rPr>
              <w:t>3,647,068</w:t>
            </w:r>
            <w:r w:rsidR="004C1CA7" w:rsidRPr="006D201D">
              <w:rPr>
                <w:color w:val="000000"/>
                <w:sz w:val="24"/>
                <w:szCs w:val="24"/>
              </w:rPr>
              <w:t xml:space="preserve"> </w:t>
            </w:r>
          </w:p>
        </w:tc>
        <w:tc>
          <w:tcPr>
            <w:tcW w:w="1558" w:type="dxa"/>
            <w:tcBorders>
              <w:top w:val="nil"/>
              <w:left w:val="nil"/>
              <w:bottom w:val="single" w:sz="4" w:space="0" w:color="auto"/>
              <w:right w:val="single" w:sz="4" w:space="0" w:color="auto"/>
            </w:tcBorders>
            <w:vAlign w:val="center"/>
          </w:tcPr>
          <w:p w14:paraId="7413556D" w14:textId="22E7DE6E" w:rsidR="004C1CA7" w:rsidRPr="006D201D" w:rsidRDefault="002108D8" w:rsidP="00040726">
            <w:pPr>
              <w:overflowPunct/>
              <w:autoSpaceDE/>
              <w:adjustRightInd/>
              <w:spacing w:line="276" w:lineRule="auto"/>
              <w:jc w:val="right"/>
              <w:rPr>
                <w:color w:val="000000"/>
                <w:sz w:val="24"/>
                <w:szCs w:val="24"/>
                <w:lang w:val="en-CA" w:eastAsia="en-CA"/>
              </w:rPr>
            </w:pPr>
            <w:r>
              <w:rPr>
                <w:color w:val="000000"/>
                <w:sz w:val="24"/>
                <w:szCs w:val="24"/>
              </w:rPr>
              <w:t>3,647,068</w:t>
            </w:r>
          </w:p>
        </w:tc>
      </w:tr>
      <w:tr w:rsidR="004C1CA7" w:rsidRPr="006D201D" w14:paraId="79F5404A"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242F1EE9"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3EC194D4" w14:textId="77777777" w:rsidR="004C1CA7" w:rsidRDefault="004C1CA7" w:rsidP="00040726">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23776E19"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Goodwill and intangible assets</w:t>
            </w:r>
          </w:p>
        </w:tc>
        <w:tc>
          <w:tcPr>
            <w:tcW w:w="1843" w:type="dxa"/>
            <w:gridSpan w:val="2"/>
            <w:tcBorders>
              <w:top w:val="nil"/>
              <w:left w:val="nil"/>
              <w:bottom w:val="single" w:sz="4" w:space="0" w:color="auto"/>
              <w:right w:val="single" w:sz="4" w:space="0" w:color="auto"/>
            </w:tcBorders>
            <w:vAlign w:val="center"/>
          </w:tcPr>
          <w:p w14:paraId="37C769D5" w14:textId="77777777" w:rsidR="004C1CA7" w:rsidRPr="006D201D" w:rsidRDefault="004C1CA7" w:rsidP="00040726">
            <w:pPr>
              <w:overflowPunct/>
              <w:autoSpaceDE/>
              <w:adjustRightInd/>
              <w:spacing w:line="276" w:lineRule="auto"/>
              <w:jc w:val="right"/>
              <w:rPr>
                <w:color w:val="000000"/>
                <w:sz w:val="24"/>
                <w:szCs w:val="24"/>
                <w:lang w:val="en-CA" w:eastAsia="en-CA"/>
              </w:rPr>
            </w:pPr>
            <w:r w:rsidRPr="006D201D">
              <w:rPr>
                <w:color w:val="000000"/>
                <w:sz w:val="24"/>
                <w:szCs w:val="24"/>
                <w:lang w:val="en-CA" w:eastAsia="en-CA"/>
              </w:rPr>
              <w:t>-</w:t>
            </w:r>
          </w:p>
        </w:tc>
        <w:tc>
          <w:tcPr>
            <w:tcW w:w="1558" w:type="dxa"/>
            <w:tcBorders>
              <w:top w:val="nil"/>
              <w:left w:val="nil"/>
              <w:bottom w:val="single" w:sz="4" w:space="0" w:color="auto"/>
              <w:right w:val="single" w:sz="4" w:space="0" w:color="auto"/>
            </w:tcBorders>
            <w:vAlign w:val="center"/>
          </w:tcPr>
          <w:p w14:paraId="7833E56B" w14:textId="77777777" w:rsidR="004C1CA7" w:rsidRPr="006D201D" w:rsidRDefault="004C1CA7" w:rsidP="00040726">
            <w:pPr>
              <w:overflowPunct/>
              <w:autoSpaceDE/>
              <w:adjustRightInd/>
              <w:spacing w:line="276" w:lineRule="auto"/>
              <w:jc w:val="right"/>
              <w:rPr>
                <w:color w:val="000000"/>
                <w:sz w:val="24"/>
                <w:szCs w:val="24"/>
                <w:lang w:val="en-CA" w:eastAsia="en-CA"/>
              </w:rPr>
            </w:pPr>
            <w:r w:rsidRPr="006D201D">
              <w:rPr>
                <w:color w:val="000000"/>
                <w:sz w:val="24"/>
                <w:szCs w:val="24"/>
                <w:lang w:val="en-CA" w:eastAsia="en-CA"/>
              </w:rPr>
              <w:t>-</w:t>
            </w:r>
          </w:p>
        </w:tc>
      </w:tr>
      <w:tr w:rsidR="004C1CA7" w:rsidRPr="006D201D" w14:paraId="22FEADFA"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tcPr>
          <w:p w14:paraId="50B051FD"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tcPr>
          <w:p w14:paraId="17464189" w14:textId="77777777" w:rsidR="004C1CA7" w:rsidRDefault="004C1CA7" w:rsidP="00040726">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tcPr>
          <w:p w14:paraId="7D4CEA73"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Goodwill</w:t>
            </w:r>
          </w:p>
        </w:tc>
        <w:tc>
          <w:tcPr>
            <w:tcW w:w="1843" w:type="dxa"/>
            <w:gridSpan w:val="2"/>
            <w:tcBorders>
              <w:top w:val="nil"/>
              <w:left w:val="nil"/>
              <w:bottom w:val="single" w:sz="4" w:space="0" w:color="auto"/>
              <w:right w:val="single" w:sz="4" w:space="0" w:color="auto"/>
            </w:tcBorders>
            <w:vAlign w:val="center"/>
          </w:tcPr>
          <w:p w14:paraId="0ACB3B23" w14:textId="77777777" w:rsidR="004C1CA7" w:rsidRPr="006D201D" w:rsidRDefault="004C1CA7" w:rsidP="00040726">
            <w:pPr>
              <w:overflowPunct/>
              <w:autoSpaceDE/>
              <w:adjustRightInd/>
              <w:spacing w:line="276" w:lineRule="auto"/>
              <w:jc w:val="right"/>
              <w:rPr>
                <w:color w:val="000000"/>
                <w:sz w:val="24"/>
                <w:szCs w:val="24"/>
                <w:vertAlign w:val="superscript"/>
                <w:lang w:val="en-CA" w:eastAsia="en-CA"/>
              </w:rPr>
            </w:pPr>
            <w:r w:rsidRPr="006D201D">
              <w:rPr>
                <w:color w:val="000000"/>
                <w:sz w:val="24"/>
                <w:szCs w:val="24"/>
                <w:vertAlign w:val="superscript"/>
                <w:lang w:val="en-CA" w:eastAsia="en-CA"/>
              </w:rPr>
              <w:t>-</w:t>
            </w:r>
          </w:p>
        </w:tc>
        <w:tc>
          <w:tcPr>
            <w:tcW w:w="1558" w:type="dxa"/>
            <w:tcBorders>
              <w:top w:val="nil"/>
              <w:left w:val="nil"/>
              <w:bottom w:val="single" w:sz="4" w:space="0" w:color="auto"/>
              <w:right w:val="single" w:sz="4" w:space="0" w:color="auto"/>
            </w:tcBorders>
            <w:vAlign w:val="center"/>
          </w:tcPr>
          <w:p w14:paraId="31A85CD9" w14:textId="77777777" w:rsidR="004C1CA7" w:rsidRPr="006D201D" w:rsidRDefault="004C1CA7" w:rsidP="00040726">
            <w:pPr>
              <w:overflowPunct/>
              <w:autoSpaceDE/>
              <w:adjustRightInd/>
              <w:spacing w:line="276" w:lineRule="auto"/>
              <w:jc w:val="right"/>
              <w:rPr>
                <w:color w:val="000000"/>
                <w:sz w:val="24"/>
                <w:szCs w:val="24"/>
                <w:lang w:val="en-CA" w:eastAsia="en-CA"/>
              </w:rPr>
            </w:pPr>
            <w:r w:rsidRPr="006D201D">
              <w:rPr>
                <w:color w:val="000000"/>
                <w:sz w:val="24"/>
                <w:szCs w:val="24"/>
                <w:lang w:val="en-CA" w:eastAsia="en-CA"/>
              </w:rPr>
              <w:t>-</w:t>
            </w:r>
          </w:p>
        </w:tc>
      </w:tr>
      <w:tr w:rsidR="004C1CA7" w:rsidRPr="006D201D" w14:paraId="5623902E"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tcPr>
          <w:p w14:paraId="1F650BB1"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tcPr>
          <w:p w14:paraId="027E3DCD" w14:textId="77777777" w:rsidR="004C1CA7" w:rsidRDefault="004C1CA7" w:rsidP="00040726">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tcPr>
          <w:p w14:paraId="4015934D"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Intangible assets</w:t>
            </w:r>
          </w:p>
        </w:tc>
        <w:tc>
          <w:tcPr>
            <w:tcW w:w="1843" w:type="dxa"/>
            <w:gridSpan w:val="2"/>
            <w:tcBorders>
              <w:top w:val="nil"/>
              <w:left w:val="nil"/>
              <w:bottom w:val="single" w:sz="4" w:space="0" w:color="auto"/>
              <w:right w:val="single" w:sz="4" w:space="0" w:color="auto"/>
            </w:tcBorders>
            <w:vAlign w:val="center"/>
          </w:tcPr>
          <w:p w14:paraId="16C0C2CD" w14:textId="77777777" w:rsidR="004C1CA7" w:rsidRPr="006D201D" w:rsidRDefault="004C1CA7" w:rsidP="00040726">
            <w:pPr>
              <w:overflowPunct/>
              <w:autoSpaceDE/>
              <w:adjustRightInd/>
              <w:spacing w:line="276" w:lineRule="auto"/>
              <w:jc w:val="right"/>
              <w:rPr>
                <w:color w:val="000000"/>
                <w:sz w:val="24"/>
                <w:szCs w:val="24"/>
                <w:vertAlign w:val="superscript"/>
                <w:lang w:val="en-CA" w:eastAsia="en-CA"/>
              </w:rPr>
            </w:pPr>
            <w:r w:rsidRPr="006D201D">
              <w:rPr>
                <w:color w:val="000000"/>
                <w:sz w:val="24"/>
                <w:szCs w:val="24"/>
                <w:vertAlign w:val="superscript"/>
                <w:lang w:val="en-CA" w:eastAsia="en-CA"/>
              </w:rPr>
              <w:t>-</w:t>
            </w:r>
          </w:p>
        </w:tc>
        <w:tc>
          <w:tcPr>
            <w:tcW w:w="1558" w:type="dxa"/>
            <w:tcBorders>
              <w:top w:val="nil"/>
              <w:left w:val="nil"/>
              <w:bottom w:val="single" w:sz="4" w:space="0" w:color="auto"/>
              <w:right w:val="single" w:sz="4" w:space="0" w:color="auto"/>
            </w:tcBorders>
            <w:vAlign w:val="center"/>
          </w:tcPr>
          <w:p w14:paraId="7BFDE412" w14:textId="77777777" w:rsidR="004C1CA7" w:rsidRPr="006D201D" w:rsidRDefault="004C1CA7" w:rsidP="00040726">
            <w:pPr>
              <w:overflowPunct/>
              <w:autoSpaceDE/>
              <w:adjustRightInd/>
              <w:spacing w:line="276" w:lineRule="auto"/>
              <w:jc w:val="right"/>
              <w:rPr>
                <w:color w:val="000000"/>
                <w:sz w:val="24"/>
                <w:szCs w:val="24"/>
                <w:lang w:val="en-CA" w:eastAsia="en-CA"/>
              </w:rPr>
            </w:pPr>
            <w:r w:rsidRPr="006D201D">
              <w:rPr>
                <w:color w:val="000000"/>
                <w:sz w:val="24"/>
                <w:szCs w:val="24"/>
                <w:lang w:val="en-CA" w:eastAsia="en-CA"/>
              </w:rPr>
              <w:t>-</w:t>
            </w:r>
          </w:p>
        </w:tc>
      </w:tr>
      <w:tr w:rsidR="004C1CA7" w:rsidRPr="006D201D" w14:paraId="3818672B"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2D5F287A"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36A09C26" w14:textId="77777777" w:rsidR="004C1CA7" w:rsidRDefault="004C1CA7" w:rsidP="00040726">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4A9330C0"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Deferred tax assets</w:t>
            </w:r>
          </w:p>
        </w:tc>
        <w:tc>
          <w:tcPr>
            <w:tcW w:w="1843" w:type="dxa"/>
            <w:gridSpan w:val="2"/>
            <w:tcBorders>
              <w:top w:val="nil"/>
              <w:left w:val="nil"/>
              <w:bottom w:val="single" w:sz="4" w:space="0" w:color="auto"/>
              <w:right w:val="single" w:sz="4" w:space="0" w:color="auto"/>
            </w:tcBorders>
            <w:vAlign w:val="center"/>
          </w:tcPr>
          <w:p w14:paraId="0BC21284" w14:textId="2BD9CAFB" w:rsidR="004C1CA7" w:rsidRPr="006D201D" w:rsidRDefault="002108D8" w:rsidP="00040726">
            <w:pPr>
              <w:overflowPunct/>
              <w:autoSpaceDE/>
              <w:adjustRightInd/>
              <w:spacing w:line="276" w:lineRule="auto"/>
              <w:jc w:val="right"/>
              <w:rPr>
                <w:color w:val="000000"/>
                <w:sz w:val="24"/>
                <w:szCs w:val="24"/>
                <w:vertAlign w:val="superscript"/>
                <w:lang w:val="en-CA" w:eastAsia="en-CA"/>
              </w:rPr>
            </w:pPr>
            <w:r>
              <w:rPr>
                <w:color w:val="000000"/>
                <w:sz w:val="24"/>
                <w:szCs w:val="24"/>
              </w:rPr>
              <w:t>412,204</w:t>
            </w:r>
            <w:r w:rsidR="004C1CA7" w:rsidRPr="006D201D">
              <w:rPr>
                <w:color w:val="000000"/>
                <w:sz w:val="24"/>
                <w:szCs w:val="24"/>
              </w:rPr>
              <w:t xml:space="preserve"> </w:t>
            </w:r>
          </w:p>
        </w:tc>
        <w:tc>
          <w:tcPr>
            <w:tcW w:w="1558" w:type="dxa"/>
            <w:tcBorders>
              <w:top w:val="nil"/>
              <w:left w:val="nil"/>
              <w:bottom w:val="single" w:sz="4" w:space="0" w:color="auto"/>
              <w:right w:val="single" w:sz="4" w:space="0" w:color="auto"/>
            </w:tcBorders>
            <w:vAlign w:val="center"/>
          </w:tcPr>
          <w:p w14:paraId="2F4D007C" w14:textId="339B5C41" w:rsidR="004C1CA7" w:rsidRPr="006D201D" w:rsidRDefault="002108D8" w:rsidP="00040726">
            <w:pPr>
              <w:overflowPunct/>
              <w:autoSpaceDE/>
              <w:adjustRightInd/>
              <w:spacing w:line="276" w:lineRule="auto"/>
              <w:jc w:val="right"/>
              <w:rPr>
                <w:color w:val="000000"/>
                <w:sz w:val="24"/>
                <w:szCs w:val="24"/>
                <w:lang w:val="en-CA" w:eastAsia="en-CA"/>
              </w:rPr>
            </w:pPr>
            <w:r>
              <w:rPr>
                <w:color w:val="000000"/>
                <w:sz w:val="24"/>
                <w:szCs w:val="24"/>
              </w:rPr>
              <w:t>412,204</w:t>
            </w:r>
          </w:p>
        </w:tc>
      </w:tr>
      <w:tr w:rsidR="004C1CA7" w:rsidRPr="006D201D" w14:paraId="7AE3FC80"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1B3AB976"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tcBorders>
              <w:top w:val="nil"/>
              <w:left w:val="nil"/>
              <w:bottom w:val="single" w:sz="4" w:space="0" w:color="auto"/>
              <w:right w:val="single" w:sz="4" w:space="0" w:color="auto"/>
            </w:tcBorders>
            <w:vAlign w:val="center"/>
            <w:hideMark/>
          </w:tcPr>
          <w:p w14:paraId="36E9995E" w14:textId="77777777" w:rsidR="004C1CA7" w:rsidRDefault="004C1CA7" w:rsidP="00040726">
            <w:pPr>
              <w:overflowPunct/>
              <w:autoSpaceDE/>
              <w:adjustRightInd/>
              <w:spacing w:line="276" w:lineRule="auto"/>
              <w:jc w:val="center"/>
              <w:rPr>
                <w:color w:val="000000"/>
                <w:sz w:val="24"/>
                <w:szCs w:val="24"/>
                <w:lang w:val="en-CA" w:eastAsia="en-CA"/>
              </w:rPr>
            </w:pPr>
            <w:r>
              <w:rPr>
                <w:color w:val="000000"/>
                <w:sz w:val="24"/>
                <w:szCs w:val="24"/>
                <w:lang w:val="en-CA" w:eastAsia="en-CA"/>
              </w:rPr>
              <w:t>vi.</w:t>
            </w:r>
          </w:p>
        </w:tc>
        <w:tc>
          <w:tcPr>
            <w:tcW w:w="5102" w:type="dxa"/>
            <w:gridSpan w:val="2"/>
            <w:tcBorders>
              <w:top w:val="nil"/>
              <w:left w:val="nil"/>
              <w:bottom w:val="single" w:sz="4" w:space="0" w:color="auto"/>
              <w:right w:val="single" w:sz="4" w:space="0" w:color="auto"/>
            </w:tcBorders>
            <w:vAlign w:val="center"/>
            <w:hideMark/>
          </w:tcPr>
          <w:p w14:paraId="3AAD7926"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Goodwill on consolidation</w:t>
            </w:r>
          </w:p>
        </w:tc>
        <w:tc>
          <w:tcPr>
            <w:tcW w:w="1843" w:type="dxa"/>
            <w:gridSpan w:val="2"/>
            <w:tcBorders>
              <w:top w:val="nil"/>
              <w:left w:val="nil"/>
              <w:bottom w:val="single" w:sz="4" w:space="0" w:color="auto"/>
              <w:right w:val="single" w:sz="4" w:space="0" w:color="auto"/>
            </w:tcBorders>
            <w:vAlign w:val="center"/>
          </w:tcPr>
          <w:p w14:paraId="2C0D8404" w14:textId="77777777" w:rsidR="004C1CA7" w:rsidRPr="006D201D" w:rsidRDefault="004C1CA7" w:rsidP="00040726">
            <w:pPr>
              <w:overflowPunct/>
              <w:autoSpaceDE/>
              <w:adjustRightInd/>
              <w:spacing w:line="276" w:lineRule="auto"/>
              <w:jc w:val="right"/>
              <w:rPr>
                <w:color w:val="000000"/>
                <w:sz w:val="24"/>
                <w:szCs w:val="24"/>
                <w:lang w:val="en-CA" w:eastAsia="en-CA"/>
              </w:rPr>
            </w:pPr>
            <w:r w:rsidRPr="006D201D">
              <w:rPr>
                <w:color w:val="000000"/>
                <w:sz w:val="24"/>
                <w:szCs w:val="24"/>
                <w:lang w:val="en-CA" w:eastAsia="en-CA"/>
              </w:rPr>
              <w:t>-</w:t>
            </w:r>
          </w:p>
        </w:tc>
        <w:tc>
          <w:tcPr>
            <w:tcW w:w="1558" w:type="dxa"/>
            <w:tcBorders>
              <w:top w:val="nil"/>
              <w:left w:val="nil"/>
              <w:bottom w:val="single" w:sz="4" w:space="0" w:color="auto"/>
              <w:right w:val="single" w:sz="4" w:space="0" w:color="auto"/>
            </w:tcBorders>
            <w:vAlign w:val="center"/>
          </w:tcPr>
          <w:p w14:paraId="1D8E65CC" w14:textId="77777777" w:rsidR="004C1CA7" w:rsidRPr="006D201D" w:rsidRDefault="004C1CA7" w:rsidP="00040726">
            <w:pPr>
              <w:overflowPunct/>
              <w:autoSpaceDE/>
              <w:adjustRightInd/>
              <w:spacing w:line="276" w:lineRule="auto"/>
              <w:jc w:val="right"/>
              <w:rPr>
                <w:color w:val="000000"/>
                <w:sz w:val="24"/>
                <w:szCs w:val="24"/>
                <w:lang w:val="en-CA" w:eastAsia="en-CA"/>
              </w:rPr>
            </w:pPr>
            <w:r w:rsidRPr="006D201D">
              <w:rPr>
                <w:color w:val="000000"/>
                <w:sz w:val="24"/>
                <w:szCs w:val="24"/>
                <w:lang w:val="en-CA" w:eastAsia="en-CA"/>
              </w:rPr>
              <w:t>-</w:t>
            </w:r>
          </w:p>
        </w:tc>
      </w:tr>
      <w:tr w:rsidR="004C1CA7" w:rsidRPr="006D201D" w14:paraId="0A662078" w14:textId="77777777" w:rsidTr="00040726">
        <w:trPr>
          <w:gridBefore w:val="1"/>
          <w:gridAfter w:val="1"/>
          <w:wBefore w:w="17" w:type="dxa"/>
          <w:wAfter w:w="33"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175ABFF3" w14:textId="77777777" w:rsidR="004C1CA7" w:rsidRDefault="004C1CA7" w:rsidP="00040726">
            <w:pPr>
              <w:overflowPunct/>
              <w:autoSpaceDE/>
              <w:autoSpaceDN/>
              <w:adjustRightInd/>
              <w:spacing w:line="276" w:lineRule="auto"/>
              <w:rPr>
                <w:color w:val="000000"/>
                <w:sz w:val="24"/>
                <w:szCs w:val="24"/>
                <w:lang w:val="en-CA" w:eastAsia="en-CA"/>
              </w:rPr>
            </w:pPr>
          </w:p>
        </w:tc>
        <w:tc>
          <w:tcPr>
            <w:tcW w:w="566" w:type="dxa"/>
            <w:tcBorders>
              <w:top w:val="nil"/>
              <w:left w:val="nil"/>
              <w:bottom w:val="single" w:sz="4" w:space="0" w:color="auto"/>
              <w:right w:val="single" w:sz="4" w:space="0" w:color="auto"/>
            </w:tcBorders>
            <w:vAlign w:val="center"/>
            <w:hideMark/>
          </w:tcPr>
          <w:p w14:paraId="0F829416" w14:textId="77777777" w:rsidR="004C1CA7" w:rsidRDefault="004C1CA7" w:rsidP="00040726">
            <w:pPr>
              <w:overflowPunct/>
              <w:autoSpaceDE/>
              <w:adjustRightInd/>
              <w:spacing w:line="276" w:lineRule="auto"/>
              <w:jc w:val="center"/>
              <w:rPr>
                <w:color w:val="000000"/>
                <w:sz w:val="24"/>
                <w:szCs w:val="24"/>
                <w:lang w:val="en-CA" w:eastAsia="en-CA"/>
              </w:rPr>
            </w:pPr>
            <w:r>
              <w:rPr>
                <w:color w:val="000000"/>
                <w:sz w:val="24"/>
                <w:szCs w:val="24"/>
                <w:lang w:val="en-CA" w:eastAsia="en-CA"/>
              </w:rPr>
              <w:t>vii.</w:t>
            </w:r>
          </w:p>
        </w:tc>
        <w:tc>
          <w:tcPr>
            <w:tcW w:w="5102" w:type="dxa"/>
            <w:gridSpan w:val="2"/>
            <w:tcBorders>
              <w:top w:val="nil"/>
              <w:left w:val="nil"/>
              <w:bottom w:val="single" w:sz="4" w:space="0" w:color="auto"/>
              <w:right w:val="single" w:sz="4" w:space="0" w:color="auto"/>
            </w:tcBorders>
            <w:vAlign w:val="center"/>
            <w:hideMark/>
          </w:tcPr>
          <w:p w14:paraId="1F77DC6C" w14:textId="77777777" w:rsidR="004C1CA7" w:rsidRPr="006D201D" w:rsidRDefault="004C1CA7" w:rsidP="00040726">
            <w:pPr>
              <w:overflowPunct/>
              <w:autoSpaceDE/>
              <w:adjustRightInd/>
              <w:spacing w:line="276" w:lineRule="auto"/>
              <w:rPr>
                <w:color w:val="000000"/>
                <w:sz w:val="24"/>
                <w:szCs w:val="24"/>
                <w:lang w:val="en-CA" w:eastAsia="en-CA"/>
              </w:rPr>
            </w:pPr>
            <w:r w:rsidRPr="006D201D">
              <w:rPr>
                <w:color w:val="000000"/>
                <w:sz w:val="24"/>
                <w:szCs w:val="24"/>
                <w:lang w:val="en-CA" w:eastAsia="en-CA"/>
              </w:rPr>
              <w:t>Debit balance in Profit &amp; Loss account</w:t>
            </w:r>
          </w:p>
        </w:tc>
        <w:tc>
          <w:tcPr>
            <w:tcW w:w="1843" w:type="dxa"/>
            <w:gridSpan w:val="2"/>
            <w:tcBorders>
              <w:top w:val="nil"/>
              <w:left w:val="nil"/>
              <w:bottom w:val="single" w:sz="4" w:space="0" w:color="auto"/>
              <w:right w:val="single" w:sz="4" w:space="0" w:color="auto"/>
            </w:tcBorders>
            <w:vAlign w:val="center"/>
          </w:tcPr>
          <w:p w14:paraId="544FD933" w14:textId="77777777" w:rsidR="004C1CA7" w:rsidRPr="006D201D" w:rsidRDefault="004C1CA7" w:rsidP="00040726">
            <w:pPr>
              <w:overflowPunct/>
              <w:autoSpaceDE/>
              <w:adjustRightInd/>
              <w:spacing w:line="276" w:lineRule="auto"/>
              <w:jc w:val="right"/>
              <w:rPr>
                <w:color w:val="000000"/>
                <w:sz w:val="24"/>
                <w:szCs w:val="24"/>
                <w:lang w:val="en-CA" w:eastAsia="en-CA"/>
              </w:rPr>
            </w:pPr>
            <w:r w:rsidRPr="006D201D">
              <w:rPr>
                <w:color w:val="000000"/>
                <w:sz w:val="24"/>
                <w:szCs w:val="24"/>
                <w:lang w:val="en-CA" w:eastAsia="en-CA"/>
              </w:rPr>
              <w:t>-</w:t>
            </w:r>
          </w:p>
        </w:tc>
        <w:tc>
          <w:tcPr>
            <w:tcW w:w="1558" w:type="dxa"/>
            <w:tcBorders>
              <w:top w:val="nil"/>
              <w:left w:val="nil"/>
              <w:bottom w:val="single" w:sz="4" w:space="0" w:color="auto"/>
              <w:right w:val="single" w:sz="4" w:space="0" w:color="auto"/>
            </w:tcBorders>
            <w:vAlign w:val="center"/>
          </w:tcPr>
          <w:p w14:paraId="164C5BB0" w14:textId="77777777" w:rsidR="004C1CA7" w:rsidRPr="006D201D" w:rsidRDefault="004C1CA7" w:rsidP="00040726">
            <w:pPr>
              <w:overflowPunct/>
              <w:autoSpaceDE/>
              <w:adjustRightInd/>
              <w:spacing w:line="276" w:lineRule="auto"/>
              <w:jc w:val="right"/>
              <w:rPr>
                <w:color w:val="000000"/>
                <w:sz w:val="24"/>
                <w:szCs w:val="24"/>
                <w:lang w:val="en-CA" w:eastAsia="en-CA"/>
              </w:rPr>
            </w:pPr>
            <w:r w:rsidRPr="006D201D">
              <w:rPr>
                <w:color w:val="000000"/>
                <w:sz w:val="24"/>
                <w:szCs w:val="24"/>
                <w:lang w:val="en-CA" w:eastAsia="en-CA"/>
              </w:rPr>
              <w:t>-</w:t>
            </w:r>
          </w:p>
        </w:tc>
      </w:tr>
      <w:tr w:rsidR="004C1CA7" w:rsidRPr="006D201D" w14:paraId="7B792DCA" w14:textId="77777777" w:rsidTr="00040726">
        <w:trPr>
          <w:gridBefore w:val="1"/>
          <w:gridAfter w:val="1"/>
          <w:wBefore w:w="17" w:type="dxa"/>
          <w:wAfter w:w="33" w:type="dxa"/>
          <w:trHeight w:val="315"/>
        </w:trPr>
        <w:tc>
          <w:tcPr>
            <w:tcW w:w="6376" w:type="dxa"/>
            <w:gridSpan w:val="4"/>
            <w:tcBorders>
              <w:top w:val="single" w:sz="4" w:space="0" w:color="auto"/>
              <w:left w:val="single" w:sz="4" w:space="0" w:color="auto"/>
              <w:bottom w:val="single" w:sz="4" w:space="0" w:color="auto"/>
              <w:right w:val="single" w:sz="4" w:space="0" w:color="auto"/>
            </w:tcBorders>
            <w:vAlign w:val="center"/>
            <w:hideMark/>
          </w:tcPr>
          <w:p w14:paraId="0AF8518C" w14:textId="77777777" w:rsidR="004C1CA7" w:rsidRPr="006D201D" w:rsidRDefault="004C1CA7" w:rsidP="00040726">
            <w:pPr>
              <w:overflowPunct/>
              <w:autoSpaceDE/>
              <w:adjustRightInd/>
              <w:spacing w:line="276" w:lineRule="auto"/>
              <w:jc w:val="center"/>
              <w:rPr>
                <w:b/>
                <w:bCs/>
                <w:color w:val="000000"/>
                <w:sz w:val="24"/>
                <w:szCs w:val="24"/>
                <w:lang w:val="en-CA" w:eastAsia="en-CA"/>
              </w:rPr>
            </w:pPr>
            <w:r w:rsidRPr="006D201D">
              <w:rPr>
                <w:b/>
                <w:bCs/>
                <w:color w:val="000000"/>
                <w:sz w:val="24"/>
                <w:szCs w:val="24"/>
                <w:lang w:val="en-CA" w:eastAsia="en-CA"/>
              </w:rPr>
              <w:t>Total Assets</w:t>
            </w:r>
          </w:p>
        </w:tc>
        <w:tc>
          <w:tcPr>
            <w:tcW w:w="1843" w:type="dxa"/>
            <w:gridSpan w:val="2"/>
            <w:tcBorders>
              <w:top w:val="nil"/>
              <w:left w:val="nil"/>
              <w:bottom w:val="single" w:sz="4" w:space="0" w:color="auto"/>
              <w:right w:val="single" w:sz="4" w:space="0" w:color="auto"/>
            </w:tcBorders>
            <w:vAlign w:val="center"/>
          </w:tcPr>
          <w:p w14:paraId="735D12F1" w14:textId="6A13F481" w:rsidR="004C1CA7" w:rsidRPr="006D201D" w:rsidRDefault="004C1CA7" w:rsidP="00040726">
            <w:pPr>
              <w:overflowPunct/>
              <w:autoSpaceDE/>
              <w:adjustRightInd/>
              <w:spacing w:line="276" w:lineRule="auto"/>
              <w:jc w:val="right"/>
              <w:rPr>
                <w:b/>
                <w:bCs/>
                <w:color w:val="000000"/>
                <w:sz w:val="24"/>
                <w:szCs w:val="24"/>
                <w:lang w:val="en-CA" w:eastAsia="en-CA"/>
              </w:rPr>
            </w:pPr>
            <w:r w:rsidRPr="006D201D">
              <w:rPr>
                <w:b/>
                <w:bCs/>
                <w:color w:val="000000"/>
                <w:sz w:val="24"/>
                <w:szCs w:val="24"/>
              </w:rPr>
              <w:t xml:space="preserve">       </w:t>
            </w:r>
            <w:r w:rsidR="002108D8">
              <w:rPr>
                <w:b/>
                <w:bCs/>
                <w:color w:val="000000"/>
                <w:sz w:val="24"/>
                <w:szCs w:val="24"/>
                <w:lang w:val="en-CA" w:eastAsia="en-CA"/>
              </w:rPr>
              <w:t>50,738,530</w:t>
            </w:r>
          </w:p>
        </w:tc>
        <w:tc>
          <w:tcPr>
            <w:tcW w:w="1558" w:type="dxa"/>
            <w:tcBorders>
              <w:top w:val="nil"/>
              <w:left w:val="nil"/>
              <w:bottom w:val="single" w:sz="4" w:space="0" w:color="auto"/>
              <w:right w:val="single" w:sz="4" w:space="0" w:color="auto"/>
            </w:tcBorders>
            <w:vAlign w:val="center"/>
          </w:tcPr>
          <w:p w14:paraId="54AC9266" w14:textId="1A97F7CB" w:rsidR="004C1CA7" w:rsidRPr="006D201D" w:rsidRDefault="002108D8" w:rsidP="00040726">
            <w:pPr>
              <w:overflowPunct/>
              <w:autoSpaceDE/>
              <w:adjustRightInd/>
              <w:spacing w:line="276" w:lineRule="auto"/>
              <w:jc w:val="right"/>
              <w:rPr>
                <w:b/>
                <w:bCs/>
                <w:color w:val="000000"/>
                <w:sz w:val="24"/>
                <w:szCs w:val="24"/>
                <w:lang w:val="en-CA" w:eastAsia="en-CA"/>
              </w:rPr>
            </w:pPr>
            <w:r>
              <w:rPr>
                <w:b/>
                <w:bCs/>
                <w:color w:val="000000"/>
                <w:sz w:val="24"/>
                <w:szCs w:val="24"/>
                <w:lang w:val="en-CA" w:eastAsia="en-CA"/>
              </w:rPr>
              <w:t>50,738,530</w:t>
            </w:r>
          </w:p>
        </w:tc>
      </w:tr>
    </w:tbl>
    <w:p w14:paraId="72DE9D4F" w14:textId="77777777" w:rsidR="004C1CA7" w:rsidRDefault="004C1CA7" w:rsidP="004C1CA7">
      <w:pPr>
        <w:rPr>
          <w:b/>
          <w:sz w:val="24"/>
          <w:szCs w:val="24"/>
        </w:rPr>
      </w:pPr>
    </w:p>
    <w:p w14:paraId="6145D483" w14:textId="77777777" w:rsidR="004C1CA7" w:rsidRPr="00A663F7" w:rsidRDefault="004C1CA7" w:rsidP="004C1CA7">
      <w:pPr>
        <w:rPr>
          <w:b/>
          <w:sz w:val="24"/>
          <w:szCs w:val="24"/>
        </w:rPr>
      </w:pPr>
    </w:p>
    <w:p w14:paraId="4EF68652" w14:textId="77777777" w:rsidR="004C1CA7" w:rsidRPr="00A663F7" w:rsidRDefault="004C1CA7" w:rsidP="004C1CA7">
      <w:pPr>
        <w:pStyle w:val="ListParagraph"/>
        <w:numPr>
          <w:ilvl w:val="0"/>
          <w:numId w:val="7"/>
        </w:numPr>
        <w:tabs>
          <w:tab w:val="clear" w:pos="1800"/>
          <w:tab w:val="num" w:pos="567"/>
        </w:tabs>
        <w:ind w:left="567" w:hanging="567"/>
        <w:rPr>
          <w:b/>
          <w:sz w:val="24"/>
          <w:szCs w:val="24"/>
        </w:rPr>
      </w:pPr>
      <w:r w:rsidRPr="00A663F7">
        <w:rPr>
          <w:b/>
          <w:bCs/>
          <w:sz w:val="24"/>
          <w:szCs w:val="24"/>
        </w:rPr>
        <w:t>Equities – Disclosure for Banking Book Positions</w:t>
      </w:r>
    </w:p>
    <w:p w14:paraId="628BE4BC" w14:textId="77777777" w:rsidR="004C1CA7" w:rsidRPr="00A663F7" w:rsidRDefault="004C1CA7" w:rsidP="004C1CA7">
      <w:pPr>
        <w:pStyle w:val="ListParagraph"/>
        <w:ind w:left="567"/>
        <w:rPr>
          <w:b/>
          <w:sz w:val="24"/>
          <w:szCs w:val="24"/>
        </w:rPr>
      </w:pPr>
    </w:p>
    <w:p w14:paraId="2BD2DE2F" w14:textId="77777777" w:rsidR="004C1CA7" w:rsidRPr="00A663F7" w:rsidRDefault="004C1CA7" w:rsidP="004C1CA7">
      <w:pPr>
        <w:widowControl w:val="0"/>
        <w:overflowPunct/>
        <w:ind w:left="576"/>
        <w:jc w:val="both"/>
        <w:rPr>
          <w:b/>
          <w:sz w:val="24"/>
          <w:szCs w:val="24"/>
        </w:rPr>
      </w:pPr>
      <w:r w:rsidRPr="00A663F7">
        <w:rPr>
          <w:sz w:val="24"/>
          <w:szCs w:val="24"/>
        </w:rPr>
        <w:t xml:space="preserve">The bank has no equity investment in banking books as of 31 March </w:t>
      </w:r>
      <w:r>
        <w:rPr>
          <w:sz w:val="24"/>
          <w:szCs w:val="24"/>
        </w:rPr>
        <w:t>2021</w:t>
      </w:r>
      <w:r w:rsidRPr="00A663F7">
        <w:rPr>
          <w:sz w:val="24"/>
          <w:szCs w:val="24"/>
        </w:rPr>
        <w:t xml:space="preserve">. </w:t>
      </w:r>
    </w:p>
    <w:p w14:paraId="53A27B67" w14:textId="77777777" w:rsidR="004C1CA7" w:rsidRPr="00A663F7" w:rsidRDefault="004C1CA7" w:rsidP="004C1CA7">
      <w:pPr>
        <w:pStyle w:val="ListParagraph"/>
        <w:ind w:left="567"/>
        <w:rPr>
          <w:b/>
          <w:sz w:val="24"/>
          <w:szCs w:val="24"/>
        </w:rPr>
      </w:pPr>
    </w:p>
    <w:p w14:paraId="1B64FF74" w14:textId="77777777" w:rsidR="004C1CA7" w:rsidRPr="00A663F7" w:rsidRDefault="004C1CA7" w:rsidP="004C1CA7">
      <w:pPr>
        <w:pStyle w:val="ListParagraph"/>
        <w:numPr>
          <w:ilvl w:val="0"/>
          <w:numId w:val="7"/>
        </w:numPr>
        <w:tabs>
          <w:tab w:val="clear" w:pos="1800"/>
          <w:tab w:val="num" w:pos="567"/>
        </w:tabs>
        <w:ind w:left="567" w:hanging="567"/>
        <w:rPr>
          <w:b/>
          <w:sz w:val="24"/>
          <w:szCs w:val="24"/>
        </w:rPr>
      </w:pPr>
      <w:r w:rsidRPr="00A663F7">
        <w:rPr>
          <w:b/>
          <w:sz w:val="24"/>
          <w:szCs w:val="24"/>
        </w:rPr>
        <w:t>Leverage Ratio</w:t>
      </w:r>
    </w:p>
    <w:p w14:paraId="0CA8C13D" w14:textId="77777777" w:rsidR="004C1CA7" w:rsidRPr="00A663F7" w:rsidRDefault="004C1CA7" w:rsidP="004C1CA7">
      <w:pPr>
        <w:pStyle w:val="ListParagraph"/>
        <w:ind w:left="567"/>
        <w:rPr>
          <w:b/>
          <w:sz w:val="24"/>
          <w:szCs w:val="24"/>
        </w:rPr>
      </w:pPr>
    </w:p>
    <w:p w14:paraId="4109E833" w14:textId="77777777" w:rsidR="004C1CA7" w:rsidRPr="00A663F7" w:rsidRDefault="004C1CA7" w:rsidP="004C1CA7">
      <w:pPr>
        <w:widowControl w:val="0"/>
        <w:overflowPunct/>
        <w:ind w:left="576" w:right="-90"/>
        <w:jc w:val="both"/>
        <w:rPr>
          <w:sz w:val="24"/>
          <w:szCs w:val="24"/>
        </w:rPr>
      </w:pPr>
      <w:r w:rsidRPr="00A663F7">
        <w:rPr>
          <w:sz w:val="24"/>
          <w:szCs w:val="24"/>
        </w:rPr>
        <w:t xml:space="preserve">The Basel III leverage ratio is defined as the capital measure (Tier-1 capital of the </w:t>
      </w:r>
      <w:proofErr w:type="gramStart"/>
      <w:r w:rsidRPr="00A663F7">
        <w:rPr>
          <w:sz w:val="24"/>
          <w:szCs w:val="24"/>
        </w:rPr>
        <w:t>risk based</w:t>
      </w:r>
      <w:proofErr w:type="gramEnd"/>
      <w:r w:rsidRPr="00A663F7">
        <w:rPr>
          <w:sz w:val="24"/>
          <w:szCs w:val="24"/>
        </w:rPr>
        <w:t xml:space="preserve"> capital framework) divided by the exposure measure, with this ratio expressed as a percentage. </w:t>
      </w:r>
      <w:r w:rsidRPr="00A663F7">
        <w:rPr>
          <w:sz w:val="24"/>
          <w:szCs w:val="24"/>
        </w:rPr>
        <w:lastRenderedPageBreak/>
        <w:t xml:space="preserve">As per RBI guidelines, disclosures required for leverage ratio for the Bank at the consolidated level at 31 March </w:t>
      </w:r>
      <w:r>
        <w:rPr>
          <w:sz w:val="24"/>
          <w:szCs w:val="24"/>
        </w:rPr>
        <w:t>2021</w:t>
      </w:r>
      <w:r w:rsidRPr="00A663F7">
        <w:rPr>
          <w:sz w:val="24"/>
          <w:szCs w:val="24"/>
        </w:rPr>
        <w:t xml:space="preserve"> is as follows.</w:t>
      </w:r>
    </w:p>
    <w:p w14:paraId="341DB85B" w14:textId="77777777" w:rsidR="004C1CA7" w:rsidRPr="00A663F7" w:rsidRDefault="004C1CA7" w:rsidP="004C1CA7">
      <w:pPr>
        <w:pStyle w:val="Default"/>
        <w:rPr>
          <w:rFonts w:ascii="Times New Roman" w:hAnsi="Times New Roman" w:cs="Times New Roman"/>
          <w:b/>
          <w:bCs/>
        </w:rPr>
      </w:pPr>
      <w:r w:rsidRPr="00A663F7">
        <w:rPr>
          <w:rFonts w:ascii="Times New Roman" w:hAnsi="Times New Roman" w:cs="Times New Roman"/>
        </w:rPr>
        <w:t xml:space="preserve">   </w:t>
      </w:r>
    </w:p>
    <w:p w14:paraId="73364E00" w14:textId="77777777" w:rsidR="004C1CA7" w:rsidRPr="00A663F7" w:rsidRDefault="004C1CA7" w:rsidP="004C1CA7">
      <w:pPr>
        <w:pStyle w:val="Default"/>
        <w:numPr>
          <w:ilvl w:val="0"/>
          <w:numId w:val="19"/>
        </w:numPr>
        <w:ind w:right="-180"/>
        <w:rPr>
          <w:rFonts w:ascii="Times New Roman" w:hAnsi="Times New Roman" w:cs="Times New Roman"/>
        </w:rPr>
      </w:pPr>
      <w:r w:rsidRPr="00A663F7">
        <w:rPr>
          <w:rFonts w:ascii="Times New Roman" w:hAnsi="Times New Roman" w:cs="Times New Roman"/>
          <w:b/>
          <w:bCs/>
        </w:rPr>
        <w:t>Table DF 17- Summary comparison of accounting assets vs. leverage ratio exposure measure</w:t>
      </w:r>
    </w:p>
    <w:p w14:paraId="055B5921" w14:textId="77777777" w:rsidR="004C1CA7" w:rsidRPr="00A663F7" w:rsidRDefault="004C1CA7" w:rsidP="004C1CA7">
      <w:pPr>
        <w:pStyle w:val="Default"/>
        <w:ind w:left="360"/>
        <w:rPr>
          <w:rFonts w:ascii="Times New Roman" w:hAnsi="Times New Roman" w:cs="Times New Roman"/>
        </w:rPr>
      </w:pPr>
    </w:p>
    <w:tbl>
      <w:tblPr>
        <w:tblW w:w="0" w:type="auto"/>
        <w:tblInd w:w="93" w:type="dxa"/>
        <w:tblLayout w:type="fixed"/>
        <w:tblLook w:val="04A0" w:firstRow="1" w:lastRow="0" w:firstColumn="1" w:lastColumn="0" w:noHBand="0" w:noVBand="1"/>
      </w:tblPr>
      <w:tblGrid>
        <w:gridCol w:w="645"/>
        <w:gridCol w:w="7740"/>
        <w:gridCol w:w="1458"/>
      </w:tblGrid>
      <w:tr w:rsidR="004C1CA7" w:rsidRPr="00A663F7" w14:paraId="092E0AF3" w14:textId="77777777" w:rsidTr="00040726">
        <w:trPr>
          <w:trHeight w:val="315"/>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6F5AC" w14:textId="77777777" w:rsidR="004C1CA7" w:rsidRPr="00A663F7" w:rsidRDefault="004C1CA7" w:rsidP="00040726">
            <w:pPr>
              <w:overflowPunct/>
              <w:autoSpaceDE/>
              <w:autoSpaceDN/>
              <w:adjustRightInd/>
              <w:textAlignment w:val="auto"/>
              <w:rPr>
                <w:rFonts w:eastAsia="Arial Unicode MS"/>
                <w:b/>
                <w:color w:val="000000"/>
                <w:sz w:val="24"/>
                <w:szCs w:val="24"/>
                <w:lang w:val="en-CA" w:eastAsia="en-CA"/>
              </w:rPr>
            </w:pPr>
            <w:r w:rsidRPr="00A663F7">
              <w:rPr>
                <w:rFonts w:eastAsia="Arial Unicode MS"/>
                <w:b/>
                <w:color w:val="000000"/>
                <w:sz w:val="24"/>
                <w:szCs w:val="24"/>
                <w:lang w:val="en-CA" w:eastAsia="en-CA"/>
              </w:rPr>
              <w:t>Sr. No.</w:t>
            </w:r>
          </w:p>
        </w:tc>
        <w:tc>
          <w:tcPr>
            <w:tcW w:w="7740" w:type="dxa"/>
            <w:tcBorders>
              <w:top w:val="single" w:sz="4" w:space="0" w:color="auto"/>
              <w:left w:val="nil"/>
              <w:bottom w:val="single" w:sz="4" w:space="0" w:color="auto"/>
              <w:right w:val="single" w:sz="4" w:space="0" w:color="auto"/>
            </w:tcBorders>
            <w:shd w:val="clear" w:color="auto" w:fill="auto"/>
            <w:noWrap/>
            <w:vAlign w:val="center"/>
            <w:hideMark/>
          </w:tcPr>
          <w:p w14:paraId="1ABB812F" w14:textId="77777777" w:rsidR="004C1CA7" w:rsidRPr="00A663F7" w:rsidRDefault="004C1CA7" w:rsidP="00040726">
            <w:pPr>
              <w:overflowPunct/>
              <w:autoSpaceDE/>
              <w:autoSpaceDN/>
              <w:adjustRightInd/>
              <w:textAlignment w:val="auto"/>
              <w:rPr>
                <w:rFonts w:eastAsia="Arial Unicode MS"/>
                <w:b/>
                <w:color w:val="000000"/>
                <w:sz w:val="24"/>
                <w:szCs w:val="24"/>
                <w:lang w:val="en-CA" w:eastAsia="en-CA"/>
              </w:rPr>
            </w:pPr>
            <w:r w:rsidRPr="00A663F7">
              <w:rPr>
                <w:rFonts w:eastAsia="Arial Unicode MS"/>
                <w:b/>
                <w:color w:val="000000"/>
                <w:sz w:val="24"/>
                <w:szCs w:val="24"/>
                <w:lang w:val="en-CA" w:eastAsia="en-CA"/>
              </w:rPr>
              <w:t xml:space="preserve"> Particulars</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14:paraId="2657964F" w14:textId="77777777" w:rsidR="004C1CA7" w:rsidRPr="00A663F7" w:rsidRDefault="004C1CA7" w:rsidP="00040726">
            <w:pPr>
              <w:overflowPunct/>
              <w:autoSpaceDE/>
              <w:autoSpaceDN/>
              <w:adjustRightInd/>
              <w:jc w:val="right"/>
              <w:textAlignment w:val="auto"/>
              <w:rPr>
                <w:rFonts w:eastAsia="Arial Unicode MS"/>
                <w:b/>
                <w:color w:val="000000"/>
                <w:sz w:val="24"/>
                <w:szCs w:val="24"/>
                <w:lang w:val="en-CA" w:eastAsia="en-CA"/>
              </w:rPr>
            </w:pPr>
            <w:r w:rsidRPr="00A663F7">
              <w:rPr>
                <w:rFonts w:eastAsia="Arial Unicode MS"/>
                <w:b/>
                <w:color w:val="000000"/>
                <w:sz w:val="24"/>
                <w:szCs w:val="24"/>
                <w:lang w:val="en-CA" w:eastAsia="en-CA"/>
              </w:rPr>
              <w:t xml:space="preserve">In Rs. 000’s </w:t>
            </w:r>
          </w:p>
        </w:tc>
      </w:tr>
      <w:tr w:rsidR="004C1CA7" w:rsidRPr="00A663F7" w14:paraId="6D923729" w14:textId="77777777" w:rsidTr="00040726">
        <w:trPr>
          <w:trHeight w:val="269"/>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4666D33C" w14:textId="77777777" w:rsidR="004C1CA7" w:rsidRPr="00A663F7" w:rsidRDefault="004C1CA7" w:rsidP="00040726">
            <w:pPr>
              <w:overflowPunct/>
              <w:autoSpaceDE/>
              <w:autoSpaceDN/>
              <w:adjustRightInd/>
              <w:jc w:val="center"/>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1</w:t>
            </w:r>
          </w:p>
        </w:tc>
        <w:tc>
          <w:tcPr>
            <w:tcW w:w="7740" w:type="dxa"/>
            <w:tcBorders>
              <w:top w:val="nil"/>
              <w:left w:val="nil"/>
              <w:bottom w:val="single" w:sz="4" w:space="0" w:color="auto"/>
              <w:right w:val="single" w:sz="4" w:space="0" w:color="auto"/>
            </w:tcBorders>
            <w:shd w:val="clear" w:color="auto" w:fill="auto"/>
            <w:noWrap/>
            <w:vAlign w:val="center"/>
            <w:hideMark/>
          </w:tcPr>
          <w:p w14:paraId="71C27F28" w14:textId="77777777" w:rsidR="004C1CA7" w:rsidRPr="00A663F7" w:rsidRDefault="004C1CA7" w:rsidP="00040726">
            <w:pPr>
              <w:overflowPunct/>
              <w:autoSpaceDE/>
              <w:autoSpaceDN/>
              <w:adjustRightInd/>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 xml:space="preserve">Total consolidated assets as per published financial statements </w:t>
            </w:r>
          </w:p>
        </w:tc>
        <w:tc>
          <w:tcPr>
            <w:tcW w:w="1458" w:type="dxa"/>
            <w:tcBorders>
              <w:top w:val="nil"/>
              <w:left w:val="nil"/>
              <w:bottom w:val="single" w:sz="4" w:space="0" w:color="auto"/>
              <w:right w:val="single" w:sz="4" w:space="0" w:color="auto"/>
            </w:tcBorders>
            <w:shd w:val="clear" w:color="auto" w:fill="auto"/>
            <w:noWrap/>
            <w:vAlign w:val="center"/>
            <w:hideMark/>
          </w:tcPr>
          <w:p w14:paraId="4D9523FB" w14:textId="16E78F33" w:rsidR="004C1CA7" w:rsidRPr="00A663F7" w:rsidRDefault="004C1CA7" w:rsidP="00040726">
            <w:pPr>
              <w:overflowPunct/>
              <w:autoSpaceDE/>
              <w:autoSpaceDN/>
              <w:adjustRightInd/>
              <w:textAlignment w:val="auto"/>
              <w:rPr>
                <w:rFonts w:eastAsia="Arial Unicode MS"/>
                <w:color w:val="000000"/>
                <w:sz w:val="24"/>
                <w:szCs w:val="24"/>
                <w:lang w:val="en-CA" w:eastAsia="en-CA"/>
              </w:rPr>
            </w:pPr>
            <w:r>
              <w:rPr>
                <w:rFonts w:eastAsia="Arial Unicode MS"/>
                <w:color w:val="000000"/>
                <w:sz w:val="24"/>
                <w:szCs w:val="24"/>
                <w:lang w:val="en-CA" w:eastAsia="en-CA"/>
              </w:rPr>
              <w:t>50,738,</w:t>
            </w:r>
            <w:r w:rsidR="00920864">
              <w:rPr>
                <w:rFonts w:eastAsia="Arial Unicode MS"/>
                <w:color w:val="000000"/>
                <w:sz w:val="24"/>
                <w:szCs w:val="24"/>
                <w:lang w:val="en-CA" w:eastAsia="en-CA"/>
              </w:rPr>
              <w:t>530</w:t>
            </w:r>
          </w:p>
        </w:tc>
      </w:tr>
      <w:tr w:rsidR="004C1CA7" w:rsidRPr="00A663F7" w14:paraId="6196EE9D" w14:textId="77777777" w:rsidTr="00040726">
        <w:trPr>
          <w:trHeight w:val="31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1D5B1E14" w14:textId="77777777" w:rsidR="004C1CA7" w:rsidRPr="00A663F7" w:rsidRDefault="004C1CA7" w:rsidP="00040726">
            <w:pPr>
              <w:overflowPunct/>
              <w:autoSpaceDE/>
              <w:autoSpaceDN/>
              <w:adjustRightInd/>
              <w:jc w:val="center"/>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2</w:t>
            </w:r>
          </w:p>
        </w:tc>
        <w:tc>
          <w:tcPr>
            <w:tcW w:w="7740" w:type="dxa"/>
            <w:tcBorders>
              <w:top w:val="nil"/>
              <w:left w:val="nil"/>
              <w:bottom w:val="single" w:sz="4" w:space="0" w:color="auto"/>
              <w:right w:val="single" w:sz="4" w:space="0" w:color="auto"/>
            </w:tcBorders>
            <w:shd w:val="clear" w:color="auto" w:fill="auto"/>
            <w:noWrap/>
            <w:vAlign w:val="center"/>
            <w:hideMark/>
          </w:tcPr>
          <w:p w14:paraId="4B9D943F" w14:textId="77777777" w:rsidR="004C1CA7" w:rsidRPr="00A663F7" w:rsidRDefault="004C1CA7" w:rsidP="00040726">
            <w:pPr>
              <w:overflowPunct/>
              <w:autoSpaceDE/>
              <w:autoSpaceDN/>
              <w:adjustRightInd/>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 xml:space="preserve">Adjustment for investments in banking, financial, insurance or commercial entities that are consolidated for accounting purposes but outside the scope of regulatory consolidation </w:t>
            </w:r>
          </w:p>
        </w:tc>
        <w:tc>
          <w:tcPr>
            <w:tcW w:w="1458" w:type="dxa"/>
            <w:tcBorders>
              <w:top w:val="nil"/>
              <w:left w:val="nil"/>
              <w:bottom w:val="single" w:sz="4" w:space="0" w:color="auto"/>
              <w:right w:val="single" w:sz="4" w:space="0" w:color="auto"/>
            </w:tcBorders>
            <w:shd w:val="clear" w:color="auto" w:fill="auto"/>
            <w:noWrap/>
            <w:vAlign w:val="center"/>
            <w:hideMark/>
          </w:tcPr>
          <w:p w14:paraId="774D0A74" w14:textId="77777777" w:rsidR="004C1CA7" w:rsidRPr="00A663F7" w:rsidRDefault="004C1CA7" w:rsidP="00040726">
            <w:pPr>
              <w:overflowPunct/>
              <w:autoSpaceDE/>
              <w:autoSpaceDN/>
              <w:adjustRightInd/>
              <w:jc w:val="right"/>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 xml:space="preserve"> - </w:t>
            </w:r>
          </w:p>
        </w:tc>
      </w:tr>
      <w:tr w:rsidR="004C1CA7" w:rsidRPr="00A663F7" w14:paraId="077699D0" w14:textId="77777777" w:rsidTr="00040726">
        <w:trPr>
          <w:trHeight w:val="31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764CDB38" w14:textId="77777777" w:rsidR="004C1CA7" w:rsidRPr="00A663F7" w:rsidRDefault="004C1CA7" w:rsidP="00040726">
            <w:pPr>
              <w:overflowPunct/>
              <w:autoSpaceDE/>
              <w:autoSpaceDN/>
              <w:adjustRightInd/>
              <w:jc w:val="center"/>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3</w:t>
            </w:r>
          </w:p>
        </w:tc>
        <w:tc>
          <w:tcPr>
            <w:tcW w:w="7740" w:type="dxa"/>
            <w:tcBorders>
              <w:top w:val="nil"/>
              <w:left w:val="nil"/>
              <w:bottom w:val="single" w:sz="4" w:space="0" w:color="auto"/>
              <w:right w:val="single" w:sz="4" w:space="0" w:color="auto"/>
            </w:tcBorders>
            <w:shd w:val="clear" w:color="auto" w:fill="auto"/>
            <w:noWrap/>
            <w:vAlign w:val="center"/>
            <w:hideMark/>
          </w:tcPr>
          <w:p w14:paraId="7D82D98B" w14:textId="77777777" w:rsidR="004C1CA7" w:rsidRPr="00A663F7" w:rsidRDefault="004C1CA7" w:rsidP="00040726">
            <w:pPr>
              <w:overflowPunct/>
              <w:autoSpaceDE/>
              <w:autoSpaceDN/>
              <w:adjustRightInd/>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 xml:space="preserve">Adjustment for fiduciary assets recognised on the balance sheet pursuant to the operative accounting framework but excluded from the leverage ratio exposure measure </w:t>
            </w:r>
          </w:p>
        </w:tc>
        <w:tc>
          <w:tcPr>
            <w:tcW w:w="1458" w:type="dxa"/>
            <w:tcBorders>
              <w:top w:val="nil"/>
              <w:left w:val="nil"/>
              <w:bottom w:val="single" w:sz="4" w:space="0" w:color="auto"/>
              <w:right w:val="single" w:sz="4" w:space="0" w:color="auto"/>
            </w:tcBorders>
            <w:shd w:val="clear" w:color="auto" w:fill="auto"/>
            <w:noWrap/>
            <w:vAlign w:val="center"/>
            <w:hideMark/>
          </w:tcPr>
          <w:p w14:paraId="1FE0A069" w14:textId="77777777" w:rsidR="004C1CA7" w:rsidRPr="00A663F7" w:rsidRDefault="004C1CA7" w:rsidP="00040726">
            <w:pPr>
              <w:overflowPunct/>
              <w:autoSpaceDE/>
              <w:autoSpaceDN/>
              <w:adjustRightInd/>
              <w:jc w:val="right"/>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 xml:space="preserve"> - </w:t>
            </w:r>
          </w:p>
        </w:tc>
      </w:tr>
      <w:tr w:rsidR="004C1CA7" w:rsidRPr="00A663F7" w14:paraId="1CBDD290" w14:textId="77777777" w:rsidTr="00040726">
        <w:trPr>
          <w:trHeight w:val="31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6BF786D8" w14:textId="77777777" w:rsidR="004C1CA7" w:rsidRPr="00A663F7" w:rsidRDefault="004C1CA7" w:rsidP="00040726">
            <w:pPr>
              <w:overflowPunct/>
              <w:autoSpaceDE/>
              <w:autoSpaceDN/>
              <w:adjustRightInd/>
              <w:jc w:val="center"/>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4</w:t>
            </w:r>
          </w:p>
        </w:tc>
        <w:tc>
          <w:tcPr>
            <w:tcW w:w="7740" w:type="dxa"/>
            <w:tcBorders>
              <w:top w:val="nil"/>
              <w:left w:val="nil"/>
              <w:bottom w:val="single" w:sz="4" w:space="0" w:color="auto"/>
              <w:right w:val="single" w:sz="4" w:space="0" w:color="auto"/>
            </w:tcBorders>
            <w:shd w:val="clear" w:color="auto" w:fill="auto"/>
            <w:noWrap/>
            <w:vAlign w:val="center"/>
            <w:hideMark/>
          </w:tcPr>
          <w:p w14:paraId="11FCF4D9" w14:textId="77777777" w:rsidR="004C1CA7" w:rsidRPr="00A663F7" w:rsidRDefault="004C1CA7" w:rsidP="00040726">
            <w:pPr>
              <w:overflowPunct/>
              <w:autoSpaceDE/>
              <w:autoSpaceDN/>
              <w:adjustRightInd/>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 xml:space="preserve">Adjustments for derivative financial instruments </w:t>
            </w:r>
          </w:p>
        </w:tc>
        <w:tc>
          <w:tcPr>
            <w:tcW w:w="1458" w:type="dxa"/>
            <w:tcBorders>
              <w:top w:val="nil"/>
              <w:left w:val="nil"/>
              <w:bottom w:val="single" w:sz="4" w:space="0" w:color="auto"/>
              <w:right w:val="single" w:sz="4" w:space="0" w:color="auto"/>
            </w:tcBorders>
            <w:shd w:val="clear" w:color="auto" w:fill="auto"/>
            <w:noWrap/>
            <w:vAlign w:val="center"/>
            <w:hideMark/>
          </w:tcPr>
          <w:p w14:paraId="3049DD5C" w14:textId="77777777" w:rsidR="004C1CA7" w:rsidRPr="00A663F7" w:rsidRDefault="004C1CA7" w:rsidP="00040726">
            <w:pPr>
              <w:overflowPunct/>
              <w:autoSpaceDE/>
              <w:autoSpaceDN/>
              <w:adjustRightInd/>
              <w:jc w:val="right"/>
              <w:textAlignment w:val="auto"/>
              <w:rPr>
                <w:rFonts w:eastAsia="Arial Unicode MS"/>
                <w:color w:val="000000"/>
                <w:sz w:val="24"/>
                <w:szCs w:val="24"/>
                <w:lang w:val="en-CA" w:eastAsia="en-CA"/>
              </w:rPr>
            </w:pPr>
            <w:r>
              <w:rPr>
                <w:rFonts w:eastAsia="Arial Unicode MS"/>
                <w:color w:val="000000"/>
                <w:sz w:val="24"/>
                <w:szCs w:val="24"/>
                <w:lang w:val="en-CA" w:eastAsia="en-CA"/>
              </w:rPr>
              <w:t>3,938,915</w:t>
            </w:r>
          </w:p>
        </w:tc>
      </w:tr>
      <w:tr w:rsidR="004C1CA7" w:rsidRPr="00A663F7" w14:paraId="11D096E9" w14:textId="77777777" w:rsidTr="00040726">
        <w:trPr>
          <w:trHeight w:val="31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3943A45F" w14:textId="77777777" w:rsidR="004C1CA7" w:rsidRPr="00A663F7" w:rsidRDefault="004C1CA7" w:rsidP="00040726">
            <w:pPr>
              <w:overflowPunct/>
              <w:autoSpaceDE/>
              <w:autoSpaceDN/>
              <w:adjustRightInd/>
              <w:jc w:val="center"/>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5</w:t>
            </w:r>
          </w:p>
        </w:tc>
        <w:tc>
          <w:tcPr>
            <w:tcW w:w="7740" w:type="dxa"/>
            <w:tcBorders>
              <w:top w:val="nil"/>
              <w:left w:val="nil"/>
              <w:bottom w:val="single" w:sz="4" w:space="0" w:color="auto"/>
              <w:right w:val="single" w:sz="4" w:space="0" w:color="auto"/>
            </w:tcBorders>
            <w:shd w:val="clear" w:color="auto" w:fill="auto"/>
            <w:noWrap/>
            <w:vAlign w:val="center"/>
            <w:hideMark/>
          </w:tcPr>
          <w:p w14:paraId="7305A3FB" w14:textId="77777777" w:rsidR="004C1CA7" w:rsidRPr="00A663F7" w:rsidRDefault="004C1CA7" w:rsidP="00040726">
            <w:pPr>
              <w:overflowPunct/>
              <w:autoSpaceDE/>
              <w:autoSpaceDN/>
              <w:adjustRightInd/>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 xml:space="preserve">Adjustment for securities financing transactions (i.e. repos and similar secured lending) </w:t>
            </w:r>
          </w:p>
        </w:tc>
        <w:tc>
          <w:tcPr>
            <w:tcW w:w="1458" w:type="dxa"/>
            <w:tcBorders>
              <w:top w:val="nil"/>
              <w:left w:val="nil"/>
              <w:bottom w:val="single" w:sz="4" w:space="0" w:color="auto"/>
              <w:right w:val="single" w:sz="4" w:space="0" w:color="auto"/>
            </w:tcBorders>
            <w:shd w:val="clear" w:color="auto" w:fill="auto"/>
            <w:noWrap/>
            <w:vAlign w:val="center"/>
            <w:hideMark/>
          </w:tcPr>
          <w:p w14:paraId="3A70BB5C" w14:textId="77777777" w:rsidR="004C1CA7" w:rsidRPr="00A663F7" w:rsidRDefault="004C1CA7" w:rsidP="00040726">
            <w:pPr>
              <w:overflowPunct/>
              <w:autoSpaceDE/>
              <w:autoSpaceDN/>
              <w:adjustRightInd/>
              <w:jc w:val="right"/>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 xml:space="preserve">                             -   </w:t>
            </w:r>
          </w:p>
        </w:tc>
      </w:tr>
      <w:tr w:rsidR="004C1CA7" w:rsidRPr="00A663F7" w14:paraId="6348D56C" w14:textId="77777777" w:rsidTr="00040726">
        <w:trPr>
          <w:trHeight w:val="31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0A3A1DFF" w14:textId="77777777" w:rsidR="004C1CA7" w:rsidRPr="00A663F7" w:rsidRDefault="004C1CA7" w:rsidP="00040726">
            <w:pPr>
              <w:overflowPunct/>
              <w:autoSpaceDE/>
              <w:autoSpaceDN/>
              <w:adjustRightInd/>
              <w:jc w:val="center"/>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6</w:t>
            </w:r>
          </w:p>
        </w:tc>
        <w:tc>
          <w:tcPr>
            <w:tcW w:w="7740" w:type="dxa"/>
            <w:tcBorders>
              <w:top w:val="nil"/>
              <w:left w:val="nil"/>
              <w:bottom w:val="single" w:sz="4" w:space="0" w:color="auto"/>
              <w:right w:val="single" w:sz="4" w:space="0" w:color="auto"/>
            </w:tcBorders>
            <w:shd w:val="clear" w:color="auto" w:fill="auto"/>
            <w:noWrap/>
            <w:vAlign w:val="center"/>
            <w:hideMark/>
          </w:tcPr>
          <w:p w14:paraId="729D7FB3" w14:textId="77777777" w:rsidR="004C1CA7" w:rsidRPr="00A663F7" w:rsidRDefault="004C1CA7" w:rsidP="00040726">
            <w:pPr>
              <w:overflowPunct/>
              <w:autoSpaceDE/>
              <w:autoSpaceDN/>
              <w:adjustRightInd/>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 xml:space="preserve">Adjustment for off-balance sheet items (i.e. conversion to credit equivalent amounts of off- balance sheet exposures) </w:t>
            </w:r>
          </w:p>
        </w:tc>
        <w:tc>
          <w:tcPr>
            <w:tcW w:w="1458" w:type="dxa"/>
            <w:tcBorders>
              <w:top w:val="nil"/>
              <w:left w:val="nil"/>
              <w:bottom w:val="single" w:sz="4" w:space="0" w:color="auto"/>
              <w:right w:val="single" w:sz="4" w:space="0" w:color="auto"/>
            </w:tcBorders>
            <w:shd w:val="clear" w:color="auto" w:fill="auto"/>
            <w:noWrap/>
            <w:vAlign w:val="center"/>
            <w:hideMark/>
          </w:tcPr>
          <w:p w14:paraId="1F38DB7C" w14:textId="77777777" w:rsidR="004C1CA7" w:rsidRPr="00A663F7" w:rsidRDefault="004C1CA7" w:rsidP="00040726">
            <w:pPr>
              <w:overflowPunct/>
              <w:autoSpaceDE/>
              <w:autoSpaceDN/>
              <w:adjustRightInd/>
              <w:jc w:val="right"/>
              <w:textAlignment w:val="auto"/>
              <w:rPr>
                <w:rFonts w:eastAsia="Arial Unicode MS"/>
                <w:color w:val="000000"/>
                <w:sz w:val="24"/>
                <w:szCs w:val="24"/>
                <w:lang w:val="en-CA" w:eastAsia="en-CA"/>
              </w:rPr>
            </w:pPr>
            <w:r>
              <w:rPr>
                <w:rFonts w:eastAsia="Arial Unicode MS"/>
                <w:color w:val="000000"/>
                <w:sz w:val="24"/>
                <w:szCs w:val="24"/>
                <w:lang w:val="en-CA" w:eastAsia="en-CA"/>
              </w:rPr>
              <w:t>18,680,106</w:t>
            </w:r>
          </w:p>
        </w:tc>
      </w:tr>
      <w:tr w:rsidR="004C1CA7" w:rsidRPr="00A663F7" w14:paraId="07AE7EB7" w14:textId="77777777" w:rsidTr="00040726">
        <w:trPr>
          <w:trHeight w:val="31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7C3084F8" w14:textId="77777777" w:rsidR="004C1CA7" w:rsidRPr="00A663F7" w:rsidRDefault="004C1CA7" w:rsidP="00040726">
            <w:pPr>
              <w:overflowPunct/>
              <w:autoSpaceDE/>
              <w:autoSpaceDN/>
              <w:adjustRightInd/>
              <w:jc w:val="center"/>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7</w:t>
            </w:r>
          </w:p>
        </w:tc>
        <w:tc>
          <w:tcPr>
            <w:tcW w:w="7740" w:type="dxa"/>
            <w:tcBorders>
              <w:top w:val="nil"/>
              <w:left w:val="nil"/>
              <w:bottom w:val="single" w:sz="4" w:space="0" w:color="auto"/>
              <w:right w:val="single" w:sz="4" w:space="0" w:color="auto"/>
            </w:tcBorders>
            <w:shd w:val="clear" w:color="auto" w:fill="auto"/>
            <w:noWrap/>
            <w:vAlign w:val="center"/>
            <w:hideMark/>
          </w:tcPr>
          <w:p w14:paraId="6C6A1E25" w14:textId="77777777" w:rsidR="004C1CA7" w:rsidRPr="00A663F7" w:rsidRDefault="004C1CA7" w:rsidP="00040726">
            <w:pPr>
              <w:overflowPunct/>
              <w:autoSpaceDE/>
              <w:autoSpaceDN/>
              <w:adjustRightInd/>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 xml:space="preserve">Other adjustments </w:t>
            </w:r>
          </w:p>
        </w:tc>
        <w:tc>
          <w:tcPr>
            <w:tcW w:w="1458" w:type="dxa"/>
            <w:tcBorders>
              <w:top w:val="nil"/>
              <w:left w:val="nil"/>
              <w:bottom w:val="single" w:sz="4" w:space="0" w:color="auto"/>
              <w:right w:val="single" w:sz="4" w:space="0" w:color="auto"/>
            </w:tcBorders>
            <w:shd w:val="clear" w:color="auto" w:fill="auto"/>
            <w:noWrap/>
            <w:vAlign w:val="center"/>
            <w:hideMark/>
          </w:tcPr>
          <w:p w14:paraId="3E135B9E" w14:textId="77777777" w:rsidR="004C1CA7" w:rsidRPr="00A663F7" w:rsidRDefault="004C1CA7" w:rsidP="00040726">
            <w:pPr>
              <w:overflowPunct/>
              <w:autoSpaceDE/>
              <w:autoSpaceDN/>
              <w:adjustRightInd/>
              <w:jc w:val="right"/>
              <w:textAlignment w:val="auto"/>
              <w:rPr>
                <w:rFonts w:eastAsia="Arial Unicode MS"/>
                <w:color w:val="000000"/>
                <w:sz w:val="24"/>
                <w:szCs w:val="24"/>
                <w:lang w:val="en-CA" w:eastAsia="en-CA"/>
              </w:rPr>
            </w:pPr>
            <w:r>
              <w:rPr>
                <w:rFonts w:eastAsia="Arial Unicode MS"/>
                <w:color w:val="000000"/>
                <w:sz w:val="24"/>
                <w:szCs w:val="24"/>
                <w:lang w:val="en-CA" w:eastAsia="en-CA"/>
              </w:rPr>
              <w:t xml:space="preserve">     </w:t>
            </w:r>
            <w:r w:rsidRPr="00A663F7">
              <w:rPr>
                <w:rFonts w:eastAsia="Arial Unicode MS"/>
                <w:color w:val="000000"/>
                <w:sz w:val="24"/>
                <w:szCs w:val="24"/>
                <w:lang w:val="en-CA" w:eastAsia="en-CA"/>
              </w:rPr>
              <w:t>(</w:t>
            </w:r>
            <w:r>
              <w:rPr>
                <w:rFonts w:eastAsia="Arial Unicode MS"/>
                <w:color w:val="000000"/>
                <w:sz w:val="24"/>
                <w:szCs w:val="24"/>
                <w:lang w:val="en-CA" w:eastAsia="en-CA"/>
              </w:rPr>
              <w:t>414,763</w:t>
            </w:r>
            <w:r w:rsidRPr="00A663F7">
              <w:rPr>
                <w:rFonts w:eastAsia="Arial Unicode MS"/>
                <w:color w:val="000000"/>
                <w:sz w:val="24"/>
                <w:szCs w:val="24"/>
                <w:lang w:val="en-CA" w:eastAsia="en-CA"/>
              </w:rPr>
              <w:t>)</w:t>
            </w:r>
          </w:p>
        </w:tc>
      </w:tr>
      <w:tr w:rsidR="004C1CA7" w:rsidRPr="00A663F7" w14:paraId="212757A3" w14:textId="77777777" w:rsidTr="00040726">
        <w:trPr>
          <w:trHeight w:val="31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4C3FDC71" w14:textId="77777777" w:rsidR="004C1CA7" w:rsidRPr="00A663F7" w:rsidRDefault="004C1CA7" w:rsidP="00040726">
            <w:pPr>
              <w:overflowPunct/>
              <w:autoSpaceDE/>
              <w:autoSpaceDN/>
              <w:adjustRightInd/>
              <w:jc w:val="center"/>
              <w:textAlignment w:val="auto"/>
              <w:rPr>
                <w:rFonts w:eastAsia="Arial Unicode MS"/>
                <w:b/>
                <w:bCs/>
                <w:color w:val="000000"/>
                <w:sz w:val="24"/>
                <w:szCs w:val="24"/>
                <w:lang w:val="en-CA" w:eastAsia="en-CA"/>
              </w:rPr>
            </w:pPr>
            <w:r w:rsidRPr="00A663F7">
              <w:rPr>
                <w:rFonts w:eastAsia="Arial Unicode MS"/>
                <w:b/>
                <w:bCs/>
                <w:color w:val="000000"/>
                <w:sz w:val="24"/>
                <w:szCs w:val="24"/>
                <w:lang w:val="en-CA" w:eastAsia="en-CA"/>
              </w:rPr>
              <w:t>8</w:t>
            </w:r>
          </w:p>
        </w:tc>
        <w:tc>
          <w:tcPr>
            <w:tcW w:w="7740" w:type="dxa"/>
            <w:tcBorders>
              <w:top w:val="nil"/>
              <w:left w:val="nil"/>
              <w:bottom w:val="single" w:sz="4" w:space="0" w:color="auto"/>
              <w:right w:val="single" w:sz="4" w:space="0" w:color="auto"/>
            </w:tcBorders>
            <w:shd w:val="clear" w:color="auto" w:fill="auto"/>
            <w:noWrap/>
            <w:vAlign w:val="center"/>
            <w:hideMark/>
          </w:tcPr>
          <w:p w14:paraId="48F8AA1A" w14:textId="77777777" w:rsidR="004C1CA7" w:rsidRPr="00A663F7" w:rsidRDefault="004C1CA7" w:rsidP="00040726">
            <w:pPr>
              <w:overflowPunct/>
              <w:autoSpaceDE/>
              <w:autoSpaceDN/>
              <w:adjustRightInd/>
              <w:textAlignment w:val="auto"/>
              <w:rPr>
                <w:rFonts w:eastAsia="Arial Unicode MS"/>
                <w:b/>
                <w:bCs/>
                <w:color w:val="000000"/>
                <w:sz w:val="24"/>
                <w:szCs w:val="24"/>
                <w:lang w:val="en-CA" w:eastAsia="en-CA"/>
              </w:rPr>
            </w:pPr>
            <w:r w:rsidRPr="00A663F7">
              <w:rPr>
                <w:rFonts w:eastAsia="Arial Unicode MS"/>
                <w:b/>
                <w:bCs/>
                <w:color w:val="000000"/>
                <w:sz w:val="24"/>
                <w:szCs w:val="24"/>
                <w:lang w:val="en-CA" w:eastAsia="en-CA"/>
              </w:rPr>
              <w:t>Leverage ratio exposure</w:t>
            </w:r>
          </w:p>
        </w:tc>
        <w:tc>
          <w:tcPr>
            <w:tcW w:w="1458" w:type="dxa"/>
            <w:tcBorders>
              <w:top w:val="nil"/>
              <w:left w:val="nil"/>
              <w:bottom w:val="single" w:sz="4" w:space="0" w:color="auto"/>
              <w:right w:val="single" w:sz="4" w:space="0" w:color="auto"/>
            </w:tcBorders>
            <w:shd w:val="clear" w:color="auto" w:fill="auto"/>
            <w:noWrap/>
            <w:vAlign w:val="center"/>
            <w:hideMark/>
          </w:tcPr>
          <w:p w14:paraId="06A27320" w14:textId="77777777" w:rsidR="004C1CA7" w:rsidRPr="00A663F7" w:rsidRDefault="004C1CA7" w:rsidP="00040726">
            <w:pPr>
              <w:overflowPunct/>
              <w:autoSpaceDE/>
              <w:autoSpaceDN/>
              <w:adjustRightInd/>
              <w:textAlignment w:val="auto"/>
              <w:rPr>
                <w:rFonts w:eastAsia="Arial Unicode MS"/>
                <w:b/>
                <w:bCs/>
                <w:color w:val="000000"/>
                <w:sz w:val="24"/>
                <w:szCs w:val="24"/>
                <w:lang w:val="en-CA" w:eastAsia="en-CA"/>
              </w:rPr>
            </w:pPr>
            <w:r>
              <w:rPr>
                <w:rFonts w:eastAsia="Arial Unicode MS"/>
                <w:b/>
                <w:bCs/>
                <w:color w:val="000000"/>
                <w:sz w:val="24"/>
                <w:szCs w:val="24"/>
                <w:lang w:val="en-CA" w:eastAsia="en-CA"/>
              </w:rPr>
              <w:t xml:space="preserve">  72,942,788</w:t>
            </w:r>
          </w:p>
        </w:tc>
      </w:tr>
    </w:tbl>
    <w:p w14:paraId="7D59C6DA" w14:textId="77777777" w:rsidR="004C1CA7" w:rsidRDefault="004C1CA7" w:rsidP="004C1CA7">
      <w:pPr>
        <w:rPr>
          <w:sz w:val="24"/>
          <w:szCs w:val="24"/>
        </w:rPr>
      </w:pPr>
    </w:p>
    <w:p w14:paraId="782E93B3" w14:textId="77777777" w:rsidR="004C1CA7" w:rsidRDefault="004C1CA7" w:rsidP="004C1CA7">
      <w:pPr>
        <w:rPr>
          <w:sz w:val="24"/>
          <w:szCs w:val="24"/>
        </w:rPr>
      </w:pPr>
    </w:p>
    <w:p w14:paraId="2DE539A2" w14:textId="77777777" w:rsidR="004C1CA7" w:rsidRPr="004A6FC1" w:rsidRDefault="004C1CA7" w:rsidP="004C1CA7">
      <w:pPr>
        <w:pStyle w:val="ListParagraph"/>
        <w:numPr>
          <w:ilvl w:val="0"/>
          <w:numId w:val="19"/>
        </w:numPr>
        <w:rPr>
          <w:sz w:val="24"/>
          <w:szCs w:val="24"/>
        </w:rPr>
      </w:pPr>
      <w:r w:rsidRPr="004A6FC1">
        <w:rPr>
          <w:rFonts w:eastAsiaTheme="minorHAnsi"/>
          <w:b/>
          <w:bCs/>
          <w:color w:val="000000"/>
          <w:sz w:val="24"/>
          <w:szCs w:val="24"/>
          <w:lang w:val="en-CA"/>
        </w:rPr>
        <w:t>Table DF-18: Leverage ratio common disclosure template</w:t>
      </w:r>
    </w:p>
    <w:p w14:paraId="4DE0BC37" w14:textId="77777777" w:rsidR="004C1CA7" w:rsidRPr="004A6FC1" w:rsidRDefault="004C1CA7" w:rsidP="004C1CA7">
      <w:pPr>
        <w:ind w:left="8352"/>
        <w:rPr>
          <w:sz w:val="24"/>
          <w:szCs w:val="24"/>
        </w:rPr>
      </w:pPr>
      <w:r w:rsidRPr="004A6FC1">
        <w:rPr>
          <w:color w:val="000000"/>
          <w:sz w:val="24"/>
          <w:szCs w:val="24"/>
          <w:lang w:val="en-CA" w:eastAsia="en-CA"/>
        </w:rPr>
        <w:t xml:space="preserve"> (In Rs.000’s)</w:t>
      </w:r>
    </w:p>
    <w:tbl>
      <w:tblPr>
        <w:tblW w:w="0" w:type="auto"/>
        <w:tblInd w:w="93" w:type="dxa"/>
        <w:tblLayout w:type="fixed"/>
        <w:tblLook w:val="04A0" w:firstRow="1" w:lastRow="0" w:firstColumn="1" w:lastColumn="0" w:noHBand="0" w:noVBand="1"/>
      </w:tblPr>
      <w:tblGrid>
        <w:gridCol w:w="465"/>
        <w:gridCol w:w="7920"/>
        <w:gridCol w:w="1458"/>
      </w:tblGrid>
      <w:tr w:rsidR="004C1CA7" w:rsidRPr="004A6FC1" w14:paraId="0E0C2B1F" w14:textId="77777777" w:rsidTr="00040726">
        <w:trPr>
          <w:trHeight w:val="300"/>
        </w:trPr>
        <w:tc>
          <w:tcPr>
            <w:tcW w:w="8385" w:type="dxa"/>
            <w:gridSpan w:val="2"/>
            <w:tcBorders>
              <w:top w:val="single" w:sz="4" w:space="0" w:color="auto"/>
              <w:left w:val="single" w:sz="4" w:space="0" w:color="auto"/>
              <w:bottom w:val="single" w:sz="4" w:space="0" w:color="auto"/>
              <w:right w:val="nil"/>
            </w:tcBorders>
            <w:shd w:val="clear" w:color="auto" w:fill="auto"/>
            <w:noWrap/>
            <w:vAlign w:val="center"/>
            <w:hideMark/>
          </w:tcPr>
          <w:p w14:paraId="41A164F2"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On-balance sheet exposures</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14:paraId="67AA5F05"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w:t>
            </w:r>
          </w:p>
        </w:tc>
      </w:tr>
      <w:tr w:rsidR="004C1CA7" w:rsidRPr="004A6FC1" w14:paraId="2001AA13"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03DEF1BF"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w:t>
            </w:r>
          </w:p>
        </w:tc>
        <w:tc>
          <w:tcPr>
            <w:tcW w:w="7920" w:type="dxa"/>
            <w:tcBorders>
              <w:top w:val="nil"/>
              <w:left w:val="nil"/>
              <w:bottom w:val="single" w:sz="4" w:space="0" w:color="auto"/>
              <w:right w:val="single" w:sz="4" w:space="0" w:color="auto"/>
            </w:tcBorders>
            <w:shd w:val="clear" w:color="auto" w:fill="auto"/>
            <w:noWrap/>
            <w:vAlign w:val="center"/>
            <w:hideMark/>
          </w:tcPr>
          <w:p w14:paraId="1AECE9AE"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On-balance sheet items (excluding derivatives and SFTs, but including collateral) </w:t>
            </w:r>
          </w:p>
        </w:tc>
        <w:tc>
          <w:tcPr>
            <w:tcW w:w="1458" w:type="dxa"/>
            <w:tcBorders>
              <w:top w:val="nil"/>
              <w:left w:val="nil"/>
              <w:bottom w:val="single" w:sz="4" w:space="0" w:color="auto"/>
              <w:right w:val="single" w:sz="4" w:space="0" w:color="auto"/>
            </w:tcBorders>
            <w:shd w:val="clear" w:color="auto" w:fill="auto"/>
            <w:noWrap/>
            <w:vAlign w:val="center"/>
            <w:hideMark/>
          </w:tcPr>
          <w:p w14:paraId="0DCD8205" w14:textId="77777777" w:rsidR="004C1CA7" w:rsidRPr="004A6FC1"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46,340,272</w:t>
            </w:r>
            <w:r w:rsidRPr="004A6FC1">
              <w:rPr>
                <w:color w:val="000000"/>
                <w:sz w:val="24"/>
                <w:szCs w:val="24"/>
                <w:lang w:val="en-CA" w:eastAsia="en-CA"/>
              </w:rPr>
              <w:t xml:space="preserve"> </w:t>
            </w:r>
          </w:p>
        </w:tc>
      </w:tr>
      <w:tr w:rsidR="004C1CA7" w:rsidRPr="004A6FC1" w14:paraId="284D88E1"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7AE64D7A"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2</w:t>
            </w:r>
          </w:p>
        </w:tc>
        <w:tc>
          <w:tcPr>
            <w:tcW w:w="7920" w:type="dxa"/>
            <w:tcBorders>
              <w:top w:val="nil"/>
              <w:left w:val="nil"/>
              <w:bottom w:val="single" w:sz="4" w:space="0" w:color="auto"/>
              <w:right w:val="single" w:sz="4" w:space="0" w:color="auto"/>
            </w:tcBorders>
            <w:shd w:val="clear" w:color="auto" w:fill="auto"/>
            <w:noWrap/>
            <w:vAlign w:val="center"/>
            <w:hideMark/>
          </w:tcPr>
          <w:p w14:paraId="70373276"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(Asset amounts deducted in determining Basel III Tier 1 capital) </w:t>
            </w:r>
          </w:p>
        </w:tc>
        <w:tc>
          <w:tcPr>
            <w:tcW w:w="1458" w:type="dxa"/>
            <w:tcBorders>
              <w:top w:val="nil"/>
              <w:left w:val="nil"/>
              <w:bottom w:val="single" w:sz="4" w:space="0" w:color="auto"/>
              <w:right w:val="single" w:sz="4" w:space="0" w:color="auto"/>
            </w:tcBorders>
            <w:shd w:val="clear" w:color="auto" w:fill="auto"/>
            <w:noWrap/>
            <w:vAlign w:val="center"/>
            <w:hideMark/>
          </w:tcPr>
          <w:p w14:paraId="1097BD80" w14:textId="77777777" w:rsidR="004C1CA7" w:rsidRPr="004A6FC1" w:rsidRDefault="004C1CA7" w:rsidP="00040726">
            <w:pPr>
              <w:overflowPunct/>
              <w:autoSpaceDE/>
              <w:autoSpaceDN/>
              <w:adjustRightInd/>
              <w:textAlignment w:val="auto"/>
              <w:rPr>
                <w:color w:val="000000"/>
                <w:sz w:val="24"/>
                <w:szCs w:val="24"/>
                <w:lang w:val="en-CA" w:eastAsia="en-CA"/>
              </w:rPr>
            </w:pPr>
            <w:r>
              <w:rPr>
                <w:color w:val="000000"/>
                <w:sz w:val="24"/>
                <w:szCs w:val="24"/>
                <w:lang w:val="en-CA" w:eastAsia="en-CA"/>
              </w:rPr>
              <w:t xml:space="preserve">     </w:t>
            </w:r>
            <w:r w:rsidRPr="004A6FC1">
              <w:rPr>
                <w:color w:val="000000"/>
                <w:sz w:val="24"/>
                <w:szCs w:val="24"/>
                <w:lang w:val="en-CA" w:eastAsia="en-CA"/>
              </w:rPr>
              <w:t>(</w:t>
            </w:r>
            <w:r>
              <w:rPr>
                <w:color w:val="000000"/>
                <w:sz w:val="24"/>
                <w:szCs w:val="24"/>
                <w:lang w:val="en-CA" w:eastAsia="en-CA"/>
              </w:rPr>
              <w:t>414,763</w:t>
            </w:r>
            <w:r w:rsidRPr="004A6FC1">
              <w:rPr>
                <w:color w:val="000000"/>
                <w:sz w:val="24"/>
                <w:szCs w:val="24"/>
                <w:lang w:val="en-CA" w:eastAsia="en-CA"/>
              </w:rPr>
              <w:t>)</w:t>
            </w:r>
          </w:p>
        </w:tc>
      </w:tr>
      <w:tr w:rsidR="004C1CA7" w:rsidRPr="004A6FC1" w14:paraId="23F1E512"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4188EE1D"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3</w:t>
            </w:r>
          </w:p>
        </w:tc>
        <w:tc>
          <w:tcPr>
            <w:tcW w:w="7920" w:type="dxa"/>
            <w:tcBorders>
              <w:top w:val="nil"/>
              <w:left w:val="nil"/>
              <w:bottom w:val="single" w:sz="4" w:space="0" w:color="auto"/>
              <w:right w:val="single" w:sz="4" w:space="0" w:color="auto"/>
            </w:tcBorders>
            <w:shd w:val="clear" w:color="auto" w:fill="auto"/>
            <w:noWrap/>
            <w:vAlign w:val="center"/>
            <w:hideMark/>
          </w:tcPr>
          <w:p w14:paraId="3D23A83A"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b/>
                <w:bCs/>
                <w:color w:val="000000"/>
                <w:sz w:val="24"/>
                <w:szCs w:val="24"/>
                <w:lang w:val="en-CA" w:eastAsia="en-CA"/>
              </w:rPr>
              <w:t>Total on-balance sheet exposures</w:t>
            </w:r>
            <w:r w:rsidRPr="004A6FC1">
              <w:rPr>
                <w:color w:val="000000"/>
                <w:sz w:val="24"/>
                <w:szCs w:val="24"/>
                <w:lang w:val="en-CA" w:eastAsia="en-CA"/>
              </w:rPr>
              <w:t xml:space="preserve"> </w:t>
            </w:r>
          </w:p>
          <w:p w14:paraId="1BF97CCF"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color w:val="000000"/>
                <w:sz w:val="24"/>
                <w:szCs w:val="24"/>
                <w:lang w:val="en-CA" w:eastAsia="en-CA"/>
              </w:rPr>
              <w:t xml:space="preserve">(excluding derivatives and SFTs) (sum of lines 1 and 2) </w:t>
            </w:r>
          </w:p>
        </w:tc>
        <w:tc>
          <w:tcPr>
            <w:tcW w:w="1458" w:type="dxa"/>
            <w:tcBorders>
              <w:top w:val="nil"/>
              <w:left w:val="nil"/>
              <w:bottom w:val="single" w:sz="4" w:space="0" w:color="auto"/>
              <w:right w:val="single" w:sz="4" w:space="0" w:color="auto"/>
            </w:tcBorders>
            <w:shd w:val="clear" w:color="auto" w:fill="auto"/>
            <w:noWrap/>
            <w:vAlign w:val="center"/>
            <w:hideMark/>
          </w:tcPr>
          <w:p w14:paraId="4D35CC78" w14:textId="77777777" w:rsidR="004C1CA7" w:rsidRPr="004A6FC1" w:rsidRDefault="004C1CA7" w:rsidP="00040726">
            <w:pPr>
              <w:overflowPunct/>
              <w:autoSpaceDE/>
              <w:autoSpaceDN/>
              <w:adjustRightInd/>
              <w:jc w:val="right"/>
              <w:textAlignment w:val="auto"/>
              <w:rPr>
                <w:b/>
                <w:bCs/>
                <w:color w:val="000000"/>
                <w:sz w:val="24"/>
                <w:szCs w:val="24"/>
                <w:lang w:val="en-CA" w:eastAsia="en-CA"/>
              </w:rPr>
            </w:pPr>
            <w:r>
              <w:rPr>
                <w:b/>
                <w:bCs/>
                <w:color w:val="000000"/>
                <w:sz w:val="24"/>
                <w:szCs w:val="24"/>
                <w:lang w:val="en-CA" w:eastAsia="en-CA"/>
              </w:rPr>
              <w:t>45,925,509</w:t>
            </w:r>
          </w:p>
        </w:tc>
      </w:tr>
      <w:tr w:rsidR="004C1CA7" w:rsidRPr="004A6FC1" w14:paraId="20D2F950" w14:textId="77777777" w:rsidTr="00040726">
        <w:trPr>
          <w:trHeight w:val="300"/>
        </w:trPr>
        <w:tc>
          <w:tcPr>
            <w:tcW w:w="8385" w:type="dxa"/>
            <w:gridSpan w:val="2"/>
            <w:tcBorders>
              <w:top w:val="single" w:sz="4" w:space="0" w:color="auto"/>
              <w:left w:val="single" w:sz="4" w:space="0" w:color="auto"/>
              <w:bottom w:val="single" w:sz="4" w:space="0" w:color="auto"/>
              <w:right w:val="nil"/>
            </w:tcBorders>
            <w:shd w:val="clear" w:color="auto" w:fill="auto"/>
            <w:noWrap/>
            <w:vAlign w:val="center"/>
            <w:hideMark/>
          </w:tcPr>
          <w:p w14:paraId="11EDB657"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Derivative exposures</w:t>
            </w:r>
          </w:p>
        </w:tc>
        <w:tc>
          <w:tcPr>
            <w:tcW w:w="1458" w:type="dxa"/>
            <w:tcBorders>
              <w:top w:val="nil"/>
              <w:left w:val="nil"/>
              <w:bottom w:val="single" w:sz="4" w:space="0" w:color="auto"/>
              <w:right w:val="single" w:sz="4" w:space="0" w:color="auto"/>
            </w:tcBorders>
            <w:shd w:val="clear" w:color="auto" w:fill="auto"/>
            <w:noWrap/>
            <w:vAlign w:val="center"/>
            <w:hideMark/>
          </w:tcPr>
          <w:p w14:paraId="6778D011"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w:t>
            </w:r>
          </w:p>
        </w:tc>
      </w:tr>
      <w:tr w:rsidR="004C1CA7" w:rsidRPr="004A6FC1" w14:paraId="13AFC834"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58B3436F"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4</w:t>
            </w:r>
          </w:p>
        </w:tc>
        <w:tc>
          <w:tcPr>
            <w:tcW w:w="7920" w:type="dxa"/>
            <w:tcBorders>
              <w:top w:val="nil"/>
              <w:left w:val="nil"/>
              <w:bottom w:val="single" w:sz="4" w:space="0" w:color="auto"/>
              <w:right w:val="single" w:sz="4" w:space="0" w:color="auto"/>
            </w:tcBorders>
            <w:shd w:val="clear" w:color="auto" w:fill="auto"/>
            <w:noWrap/>
            <w:vAlign w:val="center"/>
            <w:hideMark/>
          </w:tcPr>
          <w:p w14:paraId="702EDD33"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Replacement cost associated with all derivatives transactions (i.e. net of eligible cash variation margin) </w:t>
            </w:r>
          </w:p>
        </w:tc>
        <w:tc>
          <w:tcPr>
            <w:tcW w:w="1458" w:type="dxa"/>
            <w:tcBorders>
              <w:top w:val="nil"/>
              <w:left w:val="nil"/>
              <w:bottom w:val="single" w:sz="4" w:space="0" w:color="auto"/>
              <w:right w:val="single" w:sz="4" w:space="0" w:color="auto"/>
            </w:tcBorders>
            <w:shd w:val="clear" w:color="auto" w:fill="auto"/>
            <w:noWrap/>
            <w:vAlign w:val="center"/>
            <w:hideMark/>
          </w:tcPr>
          <w:p w14:paraId="50E8F299" w14:textId="77777777" w:rsidR="004C1CA7" w:rsidRPr="004A6FC1"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1,098,258</w:t>
            </w:r>
          </w:p>
        </w:tc>
      </w:tr>
      <w:tr w:rsidR="004C1CA7" w:rsidRPr="004A6FC1" w14:paraId="45A65C0B"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59A02697"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5</w:t>
            </w:r>
          </w:p>
        </w:tc>
        <w:tc>
          <w:tcPr>
            <w:tcW w:w="7920" w:type="dxa"/>
            <w:tcBorders>
              <w:top w:val="nil"/>
              <w:left w:val="nil"/>
              <w:bottom w:val="single" w:sz="4" w:space="0" w:color="auto"/>
              <w:right w:val="single" w:sz="4" w:space="0" w:color="auto"/>
            </w:tcBorders>
            <w:shd w:val="clear" w:color="auto" w:fill="auto"/>
            <w:noWrap/>
            <w:vAlign w:val="center"/>
            <w:hideMark/>
          </w:tcPr>
          <w:p w14:paraId="6FF5556E"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Add-on amounts for PFE associated with all derivatives transactions </w:t>
            </w:r>
          </w:p>
        </w:tc>
        <w:tc>
          <w:tcPr>
            <w:tcW w:w="1458" w:type="dxa"/>
            <w:tcBorders>
              <w:top w:val="nil"/>
              <w:left w:val="nil"/>
              <w:bottom w:val="single" w:sz="4" w:space="0" w:color="auto"/>
              <w:right w:val="single" w:sz="4" w:space="0" w:color="auto"/>
            </w:tcBorders>
            <w:shd w:val="clear" w:color="auto" w:fill="auto"/>
            <w:noWrap/>
            <w:vAlign w:val="center"/>
            <w:hideMark/>
          </w:tcPr>
          <w:p w14:paraId="31DB505A" w14:textId="4C6D5B56" w:rsidR="004C1CA7" w:rsidRPr="004A6FC1" w:rsidRDefault="004C1CA7" w:rsidP="00040726">
            <w:pPr>
              <w:overflowPunct/>
              <w:autoSpaceDE/>
              <w:autoSpaceDN/>
              <w:adjustRightInd/>
              <w:jc w:val="center"/>
              <w:textAlignment w:val="auto"/>
              <w:rPr>
                <w:color w:val="000000"/>
                <w:sz w:val="24"/>
                <w:szCs w:val="24"/>
                <w:lang w:val="en-CA" w:eastAsia="en-CA"/>
              </w:rPr>
            </w:pPr>
            <w:r>
              <w:rPr>
                <w:color w:val="000000"/>
                <w:sz w:val="24"/>
                <w:szCs w:val="24"/>
                <w:lang w:val="en-CA" w:eastAsia="en-CA"/>
              </w:rPr>
              <w:t xml:space="preserve">    3,938,91</w:t>
            </w:r>
            <w:r w:rsidR="00920864">
              <w:rPr>
                <w:color w:val="000000"/>
                <w:sz w:val="24"/>
                <w:szCs w:val="24"/>
                <w:lang w:val="en-CA" w:eastAsia="en-CA"/>
              </w:rPr>
              <w:t>6</w:t>
            </w:r>
          </w:p>
        </w:tc>
      </w:tr>
      <w:tr w:rsidR="004C1CA7" w:rsidRPr="004A6FC1" w14:paraId="3E195BE3"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1A25F98D"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6</w:t>
            </w:r>
          </w:p>
        </w:tc>
        <w:tc>
          <w:tcPr>
            <w:tcW w:w="7920" w:type="dxa"/>
            <w:tcBorders>
              <w:top w:val="nil"/>
              <w:left w:val="nil"/>
              <w:bottom w:val="single" w:sz="4" w:space="0" w:color="auto"/>
              <w:right w:val="single" w:sz="4" w:space="0" w:color="auto"/>
            </w:tcBorders>
            <w:shd w:val="clear" w:color="auto" w:fill="auto"/>
            <w:noWrap/>
            <w:vAlign w:val="center"/>
            <w:hideMark/>
          </w:tcPr>
          <w:p w14:paraId="3DE34ABF"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Gross-up for derivatives collateral provided where deducted from the balance sheet assets pursuant to the operative accounting framework </w:t>
            </w:r>
          </w:p>
        </w:tc>
        <w:tc>
          <w:tcPr>
            <w:tcW w:w="1458" w:type="dxa"/>
            <w:tcBorders>
              <w:top w:val="nil"/>
              <w:left w:val="nil"/>
              <w:bottom w:val="single" w:sz="4" w:space="0" w:color="auto"/>
              <w:right w:val="single" w:sz="4" w:space="0" w:color="auto"/>
            </w:tcBorders>
            <w:shd w:val="clear" w:color="auto" w:fill="auto"/>
            <w:noWrap/>
            <w:vAlign w:val="center"/>
            <w:hideMark/>
          </w:tcPr>
          <w:p w14:paraId="53B767E3"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 xml:space="preserve"> - </w:t>
            </w:r>
          </w:p>
        </w:tc>
      </w:tr>
      <w:tr w:rsidR="004C1CA7" w:rsidRPr="004A6FC1" w14:paraId="0C0B0CC3"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6DE6E6EF"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7</w:t>
            </w:r>
          </w:p>
        </w:tc>
        <w:tc>
          <w:tcPr>
            <w:tcW w:w="7920" w:type="dxa"/>
            <w:tcBorders>
              <w:top w:val="nil"/>
              <w:left w:val="nil"/>
              <w:bottom w:val="single" w:sz="4" w:space="0" w:color="auto"/>
              <w:right w:val="single" w:sz="4" w:space="0" w:color="auto"/>
            </w:tcBorders>
            <w:shd w:val="clear" w:color="auto" w:fill="auto"/>
            <w:noWrap/>
            <w:vAlign w:val="center"/>
            <w:hideMark/>
          </w:tcPr>
          <w:p w14:paraId="4E364600"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(Deductions of receivables assets for cash variation margin provided in derivatives transactions) </w:t>
            </w:r>
          </w:p>
        </w:tc>
        <w:tc>
          <w:tcPr>
            <w:tcW w:w="1458" w:type="dxa"/>
            <w:tcBorders>
              <w:top w:val="nil"/>
              <w:left w:val="nil"/>
              <w:bottom w:val="single" w:sz="4" w:space="0" w:color="auto"/>
              <w:right w:val="single" w:sz="4" w:space="0" w:color="auto"/>
            </w:tcBorders>
            <w:shd w:val="clear" w:color="auto" w:fill="auto"/>
            <w:noWrap/>
            <w:vAlign w:val="center"/>
            <w:hideMark/>
          </w:tcPr>
          <w:p w14:paraId="13284C7D"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 xml:space="preserve"> - </w:t>
            </w:r>
          </w:p>
        </w:tc>
      </w:tr>
      <w:tr w:rsidR="004C1CA7" w:rsidRPr="004A6FC1" w14:paraId="224E8F40"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1EF554E8"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8</w:t>
            </w:r>
          </w:p>
        </w:tc>
        <w:tc>
          <w:tcPr>
            <w:tcW w:w="7920" w:type="dxa"/>
            <w:tcBorders>
              <w:top w:val="nil"/>
              <w:left w:val="nil"/>
              <w:bottom w:val="single" w:sz="4" w:space="0" w:color="auto"/>
              <w:right w:val="single" w:sz="4" w:space="0" w:color="auto"/>
            </w:tcBorders>
            <w:shd w:val="clear" w:color="auto" w:fill="auto"/>
            <w:noWrap/>
            <w:vAlign w:val="center"/>
            <w:hideMark/>
          </w:tcPr>
          <w:p w14:paraId="44C7075F"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(Exempted CCP leg of client-cleared trade exposures) </w:t>
            </w:r>
          </w:p>
        </w:tc>
        <w:tc>
          <w:tcPr>
            <w:tcW w:w="1458" w:type="dxa"/>
            <w:tcBorders>
              <w:top w:val="nil"/>
              <w:left w:val="nil"/>
              <w:bottom w:val="single" w:sz="4" w:space="0" w:color="auto"/>
              <w:right w:val="single" w:sz="4" w:space="0" w:color="auto"/>
            </w:tcBorders>
            <w:shd w:val="clear" w:color="auto" w:fill="auto"/>
            <w:noWrap/>
            <w:vAlign w:val="center"/>
            <w:hideMark/>
          </w:tcPr>
          <w:p w14:paraId="22729F1B"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 xml:space="preserve"> - </w:t>
            </w:r>
          </w:p>
        </w:tc>
      </w:tr>
      <w:tr w:rsidR="004C1CA7" w:rsidRPr="004A6FC1" w14:paraId="79299621"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3ADA45D2"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9</w:t>
            </w:r>
          </w:p>
        </w:tc>
        <w:tc>
          <w:tcPr>
            <w:tcW w:w="7920" w:type="dxa"/>
            <w:tcBorders>
              <w:top w:val="nil"/>
              <w:left w:val="nil"/>
              <w:bottom w:val="single" w:sz="4" w:space="0" w:color="auto"/>
              <w:right w:val="single" w:sz="4" w:space="0" w:color="auto"/>
            </w:tcBorders>
            <w:shd w:val="clear" w:color="auto" w:fill="auto"/>
            <w:noWrap/>
            <w:vAlign w:val="center"/>
            <w:hideMark/>
          </w:tcPr>
          <w:p w14:paraId="62B54C46"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Adjusted effective notional amount of written credit derivatives </w:t>
            </w:r>
          </w:p>
        </w:tc>
        <w:tc>
          <w:tcPr>
            <w:tcW w:w="1458" w:type="dxa"/>
            <w:tcBorders>
              <w:top w:val="nil"/>
              <w:left w:val="nil"/>
              <w:bottom w:val="single" w:sz="4" w:space="0" w:color="auto"/>
              <w:right w:val="single" w:sz="4" w:space="0" w:color="auto"/>
            </w:tcBorders>
            <w:shd w:val="clear" w:color="auto" w:fill="auto"/>
            <w:noWrap/>
            <w:vAlign w:val="center"/>
            <w:hideMark/>
          </w:tcPr>
          <w:p w14:paraId="603C021A"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 xml:space="preserve"> - </w:t>
            </w:r>
          </w:p>
        </w:tc>
      </w:tr>
      <w:tr w:rsidR="004C1CA7" w:rsidRPr="004A6FC1" w14:paraId="46C70140"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4B716567"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10</w:t>
            </w:r>
          </w:p>
        </w:tc>
        <w:tc>
          <w:tcPr>
            <w:tcW w:w="7920" w:type="dxa"/>
            <w:tcBorders>
              <w:top w:val="nil"/>
              <w:left w:val="nil"/>
              <w:bottom w:val="single" w:sz="4" w:space="0" w:color="auto"/>
              <w:right w:val="single" w:sz="4" w:space="0" w:color="auto"/>
            </w:tcBorders>
            <w:shd w:val="clear" w:color="auto" w:fill="auto"/>
            <w:noWrap/>
            <w:vAlign w:val="center"/>
            <w:hideMark/>
          </w:tcPr>
          <w:p w14:paraId="584BEC2B"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(Adjusted effective notional offsets and add-on deductions for written credit derivatives) </w:t>
            </w:r>
          </w:p>
        </w:tc>
        <w:tc>
          <w:tcPr>
            <w:tcW w:w="1458" w:type="dxa"/>
            <w:tcBorders>
              <w:top w:val="nil"/>
              <w:left w:val="nil"/>
              <w:bottom w:val="single" w:sz="4" w:space="0" w:color="auto"/>
              <w:right w:val="single" w:sz="4" w:space="0" w:color="auto"/>
            </w:tcBorders>
            <w:shd w:val="clear" w:color="auto" w:fill="auto"/>
            <w:noWrap/>
            <w:vAlign w:val="center"/>
            <w:hideMark/>
          </w:tcPr>
          <w:p w14:paraId="73B01FF5"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 xml:space="preserve"> - </w:t>
            </w:r>
          </w:p>
        </w:tc>
      </w:tr>
      <w:tr w:rsidR="004C1CA7" w:rsidRPr="004A6FC1" w14:paraId="42ED4BDC"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5B87C8D8"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11</w:t>
            </w:r>
          </w:p>
        </w:tc>
        <w:tc>
          <w:tcPr>
            <w:tcW w:w="7920" w:type="dxa"/>
            <w:tcBorders>
              <w:top w:val="nil"/>
              <w:left w:val="nil"/>
              <w:bottom w:val="single" w:sz="4" w:space="0" w:color="auto"/>
              <w:right w:val="single" w:sz="4" w:space="0" w:color="auto"/>
            </w:tcBorders>
            <w:shd w:val="clear" w:color="auto" w:fill="auto"/>
            <w:noWrap/>
            <w:vAlign w:val="center"/>
            <w:hideMark/>
          </w:tcPr>
          <w:p w14:paraId="0330E316"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xml:space="preserve">Total derivative exposures (sum of lines 4 to 10) </w:t>
            </w:r>
          </w:p>
        </w:tc>
        <w:tc>
          <w:tcPr>
            <w:tcW w:w="1458" w:type="dxa"/>
            <w:tcBorders>
              <w:top w:val="nil"/>
              <w:left w:val="nil"/>
              <w:bottom w:val="single" w:sz="4" w:space="0" w:color="auto"/>
              <w:right w:val="single" w:sz="4" w:space="0" w:color="auto"/>
            </w:tcBorders>
            <w:shd w:val="clear" w:color="auto" w:fill="auto"/>
            <w:noWrap/>
            <w:vAlign w:val="center"/>
            <w:hideMark/>
          </w:tcPr>
          <w:p w14:paraId="05846397" w14:textId="77777777" w:rsidR="004C1CA7" w:rsidRPr="004A6FC1"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5,037,174</w:t>
            </w:r>
          </w:p>
        </w:tc>
      </w:tr>
      <w:tr w:rsidR="004C1CA7" w:rsidRPr="004A6FC1" w14:paraId="627668EC" w14:textId="77777777" w:rsidTr="00040726">
        <w:trPr>
          <w:trHeight w:val="315"/>
        </w:trPr>
        <w:tc>
          <w:tcPr>
            <w:tcW w:w="8385" w:type="dxa"/>
            <w:gridSpan w:val="2"/>
            <w:tcBorders>
              <w:top w:val="single" w:sz="4" w:space="0" w:color="auto"/>
              <w:left w:val="single" w:sz="4" w:space="0" w:color="auto"/>
              <w:bottom w:val="single" w:sz="4" w:space="0" w:color="auto"/>
              <w:right w:val="nil"/>
            </w:tcBorders>
            <w:shd w:val="clear" w:color="auto" w:fill="auto"/>
            <w:noWrap/>
            <w:vAlign w:val="center"/>
            <w:hideMark/>
          </w:tcPr>
          <w:p w14:paraId="248403A4"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lastRenderedPageBreak/>
              <w:t>Securities financing transaction exposures</w:t>
            </w:r>
          </w:p>
        </w:tc>
        <w:tc>
          <w:tcPr>
            <w:tcW w:w="1458" w:type="dxa"/>
            <w:tcBorders>
              <w:top w:val="nil"/>
              <w:left w:val="nil"/>
              <w:bottom w:val="single" w:sz="4" w:space="0" w:color="auto"/>
              <w:right w:val="single" w:sz="4" w:space="0" w:color="auto"/>
            </w:tcBorders>
            <w:shd w:val="clear" w:color="auto" w:fill="auto"/>
            <w:noWrap/>
            <w:vAlign w:val="center"/>
            <w:hideMark/>
          </w:tcPr>
          <w:p w14:paraId="778C7521"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w:t>
            </w:r>
          </w:p>
        </w:tc>
      </w:tr>
      <w:tr w:rsidR="004C1CA7" w:rsidRPr="004A6FC1" w14:paraId="3C8C2F5F"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73A42256"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12</w:t>
            </w:r>
          </w:p>
        </w:tc>
        <w:tc>
          <w:tcPr>
            <w:tcW w:w="7920" w:type="dxa"/>
            <w:tcBorders>
              <w:top w:val="nil"/>
              <w:left w:val="nil"/>
              <w:bottom w:val="single" w:sz="4" w:space="0" w:color="auto"/>
              <w:right w:val="single" w:sz="4" w:space="0" w:color="auto"/>
            </w:tcBorders>
            <w:shd w:val="clear" w:color="auto" w:fill="auto"/>
            <w:noWrap/>
            <w:vAlign w:val="center"/>
            <w:hideMark/>
          </w:tcPr>
          <w:p w14:paraId="7AC64010"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Gross SFT assets (with no recognition of netting), after adjusting for sale accounting transactions </w:t>
            </w:r>
          </w:p>
        </w:tc>
        <w:tc>
          <w:tcPr>
            <w:tcW w:w="1458" w:type="dxa"/>
            <w:tcBorders>
              <w:top w:val="nil"/>
              <w:left w:val="nil"/>
              <w:bottom w:val="single" w:sz="4" w:space="0" w:color="auto"/>
              <w:right w:val="single" w:sz="4" w:space="0" w:color="auto"/>
            </w:tcBorders>
            <w:shd w:val="clear" w:color="auto" w:fill="auto"/>
            <w:noWrap/>
            <w:vAlign w:val="center"/>
            <w:hideMark/>
          </w:tcPr>
          <w:p w14:paraId="2294ABB6" w14:textId="77777777" w:rsidR="004C1CA7" w:rsidRPr="004A6FC1"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3,300,000</w:t>
            </w:r>
          </w:p>
        </w:tc>
      </w:tr>
      <w:tr w:rsidR="004C1CA7" w:rsidRPr="004A6FC1" w14:paraId="6A994AF7" w14:textId="77777777" w:rsidTr="00040726">
        <w:trPr>
          <w:trHeight w:val="315"/>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22993"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13</w:t>
            </w:r>
          </w:p>
        </w:tc>
        <w:tc>
          <w:tcPr>
            <w:tcW w:w="7920" w:type="dxa"/>
            <w:tcBorders>
              <w:top w:val="single" w:sz="4" w:space="0" w:color="auto"/>
              <w:left w:val="nil"/>
              <w:bottom w:val="single" w:sz="4" w:space="0" w:color="auto"/>
              <w:right w:val="single" w:sz="4" w:space="0" w:color="auto"/>
            </w:tcBorders>
            <w:shd w:val="clear" w:color="auto" w:fill="auto"/>
            <w:noWrap/>
            <w:vAlign w:val="center"/>
            <w:hideMark/>
          </w:tcPr>
          <w:p w14:paraId="1301D2FB"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(Netted amounts of cash payables and cash receivables of gross SFT assets) </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14:paraId="4807B436" w14:textId="77777777" w:rsidR="004C1CA7" w:rsidRPr="004A6FC1"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4A6FC1">
              <w:rPr>
                <w:color w:val="000000"/>
                <w:sz w:val="24"/>
                <w:szCs w:val="24"/>
                <w:lang w:val="en-CA" w:eastAsia="en-CA"/>
              </w:rPr>
              <w:t xml:space="preserve">-                             </w:t>
            </w:r>
            <w:r>
              <w:rPr>
                <w:color w:val="000000"/>
                <w:sz w:val="24"/>
                <w:szCs w:val="24"/>
                <w:lang w:val="en-CA" w:eastAsia="en-CA"/>
              </w:rPr>
              <w:t xml:space="preserve">     </w:t>
            </w:r>
          </w:p>
        </w:tc>
      </w:tr>
      <w:tr w:rsidR="004C1CA7" w:rsidRPr="004A6FC1" w14:paraId="1A0F5E90" w14:textId="77777777" w:rsidTr="00040726">
        <w:trPr>
          <w:trHeight w:val="287"/>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DCD49"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14</w:t>
            </w:r>
          </w:p>
        </w:tc>
        <w:tc>
          <w:tcPr>
            <w:tcW w:w="7920" w:type="dxa"/>
            <w:tcBorders>
              <w:top w:val="single" w:sz="4" w:space="0" w:color="auto"/>
              <w:left w:val="nil"/>
              <w:bottom w:val="single" w:sz="4" w:space="0" w:color="auto"/>
              <w:right w:val="single" w:sz="4" w:space="0" w:color="auto"/>
            </w:tcBorders>
            <w:shd w:val="clear" w:color="auto" w:fill="auto"/>
            <w:noWrap/>
            <w:vAlign w:val="center"/>
            <w:hideMark/>
          </w:tcPr>
          <w:p w14:paraId="79191E0B"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CCR exposure for SFT assets </w:t>
            </w:r>
          </w:p>
        </w:tc>
        <w:tc>
          <w:tcPr>
            <w:tcW w:w="1458" w:type="dxa"/>
            <w:tcBorders>
              <w:top w:val="single" w:sz="4" w:space="0" w:color="auto"/>
              <w:left w:val="nil"/>
              <w:bottom w:val="nil"/>
              <w:right w:val="single" w:sz="4" w:space="0" w:color="auto"/>
            </w:tcBorders>
            <w:shd w:val="clear" w:color="auto" w:fill="auto"/>
            <w:noWrap/>
            <w:vAlign w:val="center"/>
            <w:hideMark/>
          </w:tcPr>
          <w:p w14:paraId="53A2727F" w14:textId="77777777" w:rsidR="004C1CA7" w:rsidRPr="004A6FC1"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4A6FC1">
              <w:rPr>
                <w:color w:val="000000"/>
                <w:sz w:val="24"/>
                <w:szCs w:val="24"/>
                <w:lang w:val="en-CA" w:eastAsia="en-CA"/>
              </w:rPr>
              <w:t xml:space="preserve">-   </w:t>
            </w:r>
          </w:p>
        </w:tc>
      </w:tr>
      <w:tr w:rsidR="004C1CA7" w:rsidRPr="004A6FC1" w14:paraId="66738F4F"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5AAB676B"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15</w:t>
            </w:r>
          </w:p>
        </w:tc>
        <w:tc>
          <w:tcPr>
            <w:tcW w:w="7920" w:type="dxa"/>
            <w:tcBorders>
              <w:top w:val="nil"/>
              <w:left w:val="nil"/>
              <w:bottom w:val="single" w:sz="4" w:space="0" w:color="auto"/>
              <w:right w:val="single" w:sz="4" w:space="0" w:color="auto"/>
            </w:tcBorders>
            <w:shd w:val="clear" w:color="auto" w:fill="auto"/>
            <w:noWrap/>
            <w:vAlign w:val="center"/>
            <w:hideMark/>
          </w:tcPr>
          <w:p w14:paraId="7CAB5B0B"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Agent transaction exposures </w:t>
            </w:r>
          </w:p>
        </w:tc>
        <w:tc>
          <w:tcPr>
            <w:tcW w:w="1458" w:type="dxa"/>
            <w:tcBorders>
              <w:top w:val="single" w:sz="4" w:space="0" w:color="auto"/>
              <w:left w:val="nil"/>
              <w:bottom w:val="nil"/>
              <w:right w:val="single" w:sz="4" w:space="0" w:color="auto"/>
            </w:tcBorders>
            <w:shd w:val="clear" w:color="auto" w:fill="auto"/>
            <w:noWrap/>
            <w:vAlign w:val="center"/>
            <w:hideMark/>
          </w:tcPr>
          <w:p w14:paraId="54D0B9C5"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 xml:space="preserve">                             -   </w:t>
            </w:r>
          </w:p>
        </w:tc>
      </w:tr>
      <w:tr w:rsidR="004C1CA7" w:rsidRPr="004A6FC1" w14:paraId="03AFFA63" w14:textId="77777777" w:rsidTr="00040726">
        <w:trPr>
          <w:trHeight w:val="315"/>
        </w:trPr>
        <w:tc>
          <w:tcPr>
            <w:tcW w:w="465" w:type="dxa"/>
            <w:tcBorders>
              <w:top w:val="nil"/>
              <w:left w:val="single" w:sz="4" w:space="0" w:color="auto"/>
              <w:bottom w:val="nil"/>
              <w:right w:val="single" w:sz="4" w:space="0" w:color="auto"/>
            </w:tcBorders>
            <w:shd w:val="clear" w:color="auto" w:fill="auto"/>
            <w:noWrap/>
            <w:vAlign w:val="center"/>
            <w:hideMark/>
          </w:tcPr>
          <w:p w14:paraId="7A4DB43E"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16</w:t>
            </w:r>
          </w:p>
        </w:tc>
        <w:tc>
          <w:tcPr>
            <w:tcW w:w="7920" w:type="dxa"/>
            <w:tcBorders>
              <w:top w:val="nil"/>
              <w:left w:val="nil"/>
              <w:bottom w:val="nil"/>
              <w:right w:val="single" w:sz="4" w:space="0" w:color="auto"/>
            </w:tcBorders>
            <w:shd w:val="clear" w:color="auto" w:fill="auto"/>
            <w:noWrap/>
            <w:vAlign w:val="center"/>
            <w:hideMark/>
          </w:tcPr>
          <w:p w14:paraId="1208B9F8"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xml:space="preserve">Total securities financing transaction exposures (sum of lines 12 to 15) </w:t>
            </w:r>
          </w:p>
        </w:tc>
        <w:tc>
          <w:tcPr>
            <w:tcW w:w="1458" w:type="dxa"/>
            <w:tcBorders>
              <w:top w:val="single" w:sz="4" w:space="0" w:color="auto"/>
              <w:left w:val="nil"/>
              <w:bottom w:val="nil"/>
              <w:right w:val="single" w:sz="4" w:space="0" w:color="auto"/>
            </w:tcBorders>
            <w:shd w:val="clear" w:color="auto" w:fill="auto"/>
            <w:noWrap/>
            <w:vAlign w:val="center"/>
            <w:hideMark/>
          </w:tcPr>
          <w:p w14:paraId="73D313EA" w14:textId="77777777" w:rsidR="004C1CA7" w:rsidRPr="004A6FC1" w:rsidRDefault="004C1CA7" w:rsidP="00040726">
            <w:pPr>
              <w:overflowPunct/>
              <w:autoSpaceDE/>
              <w:autoSpaceDN/>
              <w:adjustRightInd/>
              <w:jc w:val="right"/>
              <w:textAlignment w:val="auto"/>
              <w:rPr>
                <w:b/>
                <w:bCs/>
                <w:color w:val="000000"/>
                <w:sz w:val="24"/>
                <w:szCs w:val="24"/>
                <w:lang w:val="en-CA" w:eastAsia="en-CA"/>
              </w:rPr>
            </w:pPr>
            <w:r>
              <w:rPr>
                <w:color w:val="000000"/>
                <w:sz w:val="24"/>
                <w:szCs w:val="24"/>
                <w:lang w:val="en-CA" w:eastAsia="en-CA"/>
              </w:rPr>
              <w:t>3,300,000</w:t>
            </w:r>
          </w:p>
        </w:tc>
      </w:tr>
      <w:tr w:rsidR="004C1CA7" w:rsidRPr="004A6FC1" w14:paraId="61D4127C"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11255D8B"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w:t>
            </w:r>
          </w:p>
        </w:tc>
        <w:tc>
          <w:tcPr>
            <w:tcW w:w="7920" w:type="dxa"/>
            <w:tcBorders>
              <w:top w:val="nil"/>
              <w:left w:val="nil"/>
              <w:bottom w:val="single" w:sz="4" w:space="0" w:color="auto"/>
              <w:right w:val="single" w:sz="4" w:space="0" w:color="auto"/>
            </w:tcBorders>
            <w:shd w:val="clear" w:color="auto" w:fill="auto"/>
            <w:noWrap/>
            <w:vAlign w:val="center"/>
            <w:hideMark/>
          </w:tcPr>
          <w:p w14:paraId="61824C1A"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w:t>
            </w:r>
          </w:p>
        </w:tc>
        <w:tc>
          <w:tcPr>
            <w:tcW w:w="1458" w:type="dxa"/>
            <w:tcBorders>
              <w:top w:val="nil"/>
              <w:left w:val="nil"/>
              <w:bottom w:val="single" w:sz="4" w:space="0" w:color="auto"/>
              <w:right w:val="single" w:sz="4" w:space="0" w:color="auto"/>
            </w:tcBorders>
            <w:shd w:val="clear" w:color="auto" w:fill="auto"/>
            <w:noWrap/>
            <w:vAlign w:val="center"/>
            <w:hideMark/>
          </w:tcPr>
          <w:p w14:paraId="5EAE5A89" w14:textId="77777777" w:rsidR="004C1CA7" w:rsidRPr="004A6FC1" w:rsidRDefault="004C1CA7" w:rsidP="00040726">
            <w:pPr>
              <w:overflowPunct/>
              <w:autoSpaceDE/>
              <w:autoSpaceDN/>
              <w:adjustRightInd/>
              <w:jc w:val="right"/>
              <w:textAlignment w:val="auto"/>
              <w:rPr>
                <w:b/>
                <w:bCs/>
                <w:color w:val="000000"/>
                <w:sz w:val="24"/>
                <w:szCs w:val="24"/>
                <w:lang w:val="en-CA" w:eastAsia="en-CA"/>
              </w:rPr>
            </w:pPr>
            <w:r w:rsidRPr="004A6FC1">
              <w:rPr>
                <w:b/>
                <w:bCs/>
                <w:color w:val="000000"/>
                <w:sz w:val="24"/>
                <w:szCs w:val="24"/>
                <w:lang w:val="en-CA" w:eastAsia="en-CA"/>
              </w:rPr>
              <w:t> </w:t>
            </w:r>
          </w:p>
        </w:tc>
      </w:tr>
      <w:tr w:rsidR="004C1CA7" w:rsidRPr="004A6FC1" w14:paraId="36BECA9B" w14:textId="77777777" w:rsidTr="00040726">
        <w:trPr>
          <w:trHeight w:val="300"/>
        </w:trPr>
        <w:tc>
          <w:tcPr>
            <w:tcW w:w="8385" w:type="dxa"/>
            <w:gridSpan w:val="2"/>
            <w:tcBorders>
              <w:top w:val="single" w:sz="4" w:space="0" w:color="auto"/>
              <w:left w:val="single" w:sz="4" w:space="0" w:color="auto"/>
              <w:bottom w:val="single" w:sz="4" w:space="0" w:color="auto"/>
              <w:right w:val="nil"/>
            </w:tcBorders>
            <w:shd w:val="clear" w:color="auto" w:fill="auto"/>
            <w:noWrap/>
            <w:vAlign w:val="center"/>
            <w:hideMark/>
          </w:tcPr>
          <w:p w14:paraId="1FD5FB49"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Other off-balance sheet exposures</w:t>
            </w:r>
          </w:p>
        </w:tc>
        <w:tc>
          <w:tcPr>
            <w:tcW w:w="1458" w:type="dxa"/>
            <w:tcBorders>
              <w:top w:val="nil"/>
              <w:left w:val="nil"/>
              <w:bottom w:val="single" w:sz="4" w:space="0" w:color="auto"/>
              <w:right w:val="single" w:sz="4" w:space="0" w:color="auto"/>
            </w:tcBorders>
            <w:shd w:val="clear" w:color="auto" w:fill="auto"/>
            <w:noWrap/>
            <w:vAlign w:val="center"/>
            <w:hideMark/>
          </w:tcPr>
          <w:p w14:paraId="6F15E9FF"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w:t>
            </w:r>
          </w:p>
        </w:tc>
      </w:tr>
      <w:tr w:rsidR="004C1CA7" w:rsidRPr="004A6FC1" w14:paraId="39C41B8F" w14:textId="77777777" w:rsidTr="00040726">
        <w:trPr>
          <w:trHeight w:val="3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506F7699"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17</w:t>
            </w:r>
          </w:p>
        </w:tc>
        <w:tc>
          <w:tcPr>
            <w:tcW w:w="7920" w:type="dxa"/>
            <w:tcBorders>
              <w:top w:val="nil"/>
              <w:left w:val="nil"/>
              <w:bottom w:val="single" w:sz="4" w:space="0" w:color="auto"/>
              <w:right w:val="single" w:sz="4" w:space="0" w:color="auto"/>
            </w:tcBorders>
            <w:shd w:val="clear" w:color="auto" w:fill="auto"/>
            <w:noWrap/>
            <w:vAlign w:val="center"/>
            <w:hideMark/>
          </w:tcPr>
          <w:p w14:paraId="5F25A0B3"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Off-balance sheet exposure at gross notional amount</w:t>
            </w:r>
          </w:p>
        </w:tc>
        <w:tc>
          <w:tcPr>
            <w:tcW w:w="1458" w:type="dxa"/>
            <w:tcBorders>
              <w:top w:val="nil"/>
              <w:left w:val="nil"/>
              <w:bottom w:val="single" w:sz="4" w:space="0" w:color="auto"/>
              <w:right w:val="single" w:sz="4" w:space="0" w:color="auto"/>
            </w:tcBorders>
            <w:shd w:val="clear" w:color="auto" w:fill="auto"/>
            <w:noWrap/>
            <w:vAlign w:val="center"/>
            <w:hideMark/>
          </w:tcPr>
          <w:p w14:paraId="4192DA0E" w14:textId="77777777" w:rsidR="004C1CA7" w:rsidRPr="004A6FC1"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60,564,423</w:t>
            </w:r>
          </w:p>
        </w:tc>
      </w:tr>
      <w:tr w:rsidR="004C1CA7" w:rsidRPr="004A6FC1" w14:paraId="43E8A610" w14:textId="77777777" w:rsidTr="00040726">
        <w:trPr>
          <w:trHeight w:val="3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336219F0"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18</w:t>
            </w:r>
          </w:p>
        </w:tc>
        <w:tc>
          <w:tcPr>
            <w:tcW w:w="7920" w:type="dxa"/>
            <w:tcBorders>
              <w:top w:val="nil"/>
              <w:left w:val="nil"/>
              <w:bottom w:val="single" w:sz="4" w:space="0" w:color="auto"/>
              <w:right w:val="single" w:sz="4" w:space="0" w:color="auto"/>
            </w:tcBorders>
            <w:shd w:val="clear" w:color="auto" w:fill="auto"/>
            <w:noWrap/>
            <w:vAlign w:val="center"/>
            <w:hideMark/>
          </w:tcPr>
          <w:p w14:paraId="5589CF9F"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(Adjustments for conversion to credit equivalent amounts) </w:t>
            </w:r>
          </w:p>
        </w:tc>
        <w:tc>
          <w:tcPr>
            <w:tcW w:w="1458" w:type="dxa"/>
            <w:tcBorders>
              <w:top w:val="nil"/>
              <w:left w:val="nil"/>
              <w:bottom w:val="single" w:sz="4" w:space="0" w:color="auto"/>
              <w:right w:val="single" w:sz="4" w:space="0" w:color="auto"/>
            </w:tcBorders>
            <w:shd w:val="clear" w:color="auto" w:fill="auto"/>
            <w:noWrap/>
            <w:vAlign w:val="center"/>
            <w:hideMark/>
          </w:tcPr>
          <w:p w14:paraId="22EEF2E3"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w:t>
            </w:r>
            <w:r>
              <w:rPr>
                <w:color w:val="000000"/>
                <w:sz w:val="24"/>
                <w:szCs w:val="24"/>
                <w:lang w:val="en-CA" w:eastAsia="en-CA"/>
              </w:rPr>
              <w:t>41,884,318</w:t>
            </w:r>
            <w:r w:rsidRPr="004A6FC1">
              <w:rPr>
                <w:color w:val="000000"/>
                <w:sz w:val="24"/>
                <w:szCs w:val="24"/>
                <w:lang w:val="en-CA" w:eastAsia="en-CA"/>
              </w:rPr>
              <w:t>)</w:t>
            </w:r>
          </w:p>
        </w:tc>
      </w:tr>
      <w:tr w:rsidR="004C1CA7" w:rsidRPr="004A6FC1" w14:paraId="6596C0BF" w14:textId="77777777" w:rsidTr="00040726">
        <w:trPr>
          <w:trHeight w:val="3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4F37851C"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19</w:t>
            </w:r>
          </w:p>
        </w:tc>
        <w:tc>
          <w:tcPr>
            <w:tcW w:w="7920" w:type="dxa"/>
            <w:tcBorders>
              <w:top w:val="nil"/>
              <w:left w:val="nil"/>
              <w:bottom w:val="single" w:sz="4" w:space="0" w:color="auto"/>
              <w:right w:val="single" w:sz="4" w:space="0" w:color="auto"/>
            </w:tcBorders>
            <w:shd w:val="clear" w:color="auto" w:fill="auto"/>
            <w:noWrap/>
            <w:vAlign w:val="center"/>
            <w:hideMark/>
          </w:tcPr>
          <w:p w14:paraId="1FFA6016"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xml:space="preserve">Off-balance sheet items (sum of lines 17 and 18) </w:t>
            </w:r>
          </w:p>
        </w:tc>
        <w:tc>
          <w:tcPr>
            <w:tcW w:w="1458" w:type="dxa"/>
            <w:tcBorders>
              <w:top w:val="nil"/>
              <w:left w:val="nil"/>
              <w:bottom w:val="single" w:sz="4" w:space="0" w:color="auto"/>
              <w:right w:val="single" w:sz="4" w:space="0" w:color="auto"/>
            </w:tcBorders>
            <w:shd w:val="clear" w:color="auto" w:fill="auto"/>
            <w:noWrap/>
            <w:vAlign w:val="center"/>
            <w:hideMark/>
          </w:tcPr>
          <w:p w14:paraId="6344E875" w14:textId="77777777" w:rsidR="004C1CA7" w:rsidRPr="004A6FC1" w:rsidRDefault="004C1CA7" w:rsidP="00040726">
            <w:pPr>
              <w:overflowPunct/>
              <w:autoSpaceDE/>
              <w:autoSpaceDN/>
              <w:adjustRightInd/>
              <w:textAlignment w:val="auto"/>
              <w:rPr>
                <w:b/>
                <w:bCs/>
                <w:color w:val="000000"/>
                <w:sz w:val="24"/>
                <w:szCs w:val="24"/>
                <w:lang w:val="en-CA" w:eastAsia="en-CA"/>
              </w:rPr>
            </w:pPr>
            <w:r>
              <w:rPr>
                <w:b/>
                <w:bCs/>
                <w:color w:val="000000"/>
                <w:sz w:val="24"/>
                <w:szCs w:val="24"/>
                <w:lang w:val="en-CA" w:eastAsia="en-CA"/>
              </w:rPr>
              <w:t xml:space="preserve">  18,680,106</w:t>
            </w:r>
          </w:p>
        </w:tc>
      </w:tr>
      <w:tr w:rsidR="004C1CA7" w:rsidRPr="004A6FC1" w14:paraId="67DCFBF2" w14:textId="77777777" w:rsidTr="00040726">
        <w:trPr>
          <w:trHeight w:val="300"/>
        </w:trPr>
        <w:tc>
          <w:tcPr>
            <w:tcW w:w="8385" w:type="dxa"/>
            <w:gridSpan w:val="2"/>
            <w:tcBorders>
              <w:top w:val="single" w:sz="4" w:space="0" w:color="auto"/>
              <w:left w:val="single" w:sz="4" w:space="0" w:color="auto"/>
              <w:bottom w:val="single" w:sz="4" w:space="0" w:color="auto"/>
              <w:right w:val="nil"/>
            </w:tcBorders>
            <w:shd w:val="clear" w:color="auto" w:fill="auto"/>
            <w:noWrap/>
            <w:vAlign w:val="center"/>
            <w:hideMark/>
          </w:tcPr>
          <w:p w14:paraId="636D3CF8"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Capital and total exposures</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14:paraId="70C8F146"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w:t>
            </w:r>
          </w:p>
        </w:tc>
      </w:tr>
      <w:tr w:rsidR="004C1CA7" w:rsidRPr="004A6FC1" w14:paraId="207896D6" w14:textId="77777777" w:rsidTr="00040726">
        <w:trPr>
          <w:trHeight w:val="3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23BA53F3"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20</w:t>
            </w:r>
          </w:p>
        </w:tc>
        <w:tc>
          <w:tcPr>
            <w:tcW w:w="7920" w:type="dxa"/>
            <w:tcBorders>
              <w:top w:val="nil"/>
              <w:left w:val="nil"/>
              <w:bottom w:val="single" w:sz="4" w:space="0" w:color="auto"/>
              <w:right w:val="single" w:sz="4" w:space="0" w:color="auto"/>
            </w:tcBorders>
            <w:shd w:val="clear" w:color="auto" w:fill="auto"/>
            <w:noWrap/>
            <w:vAlign w:val="center"/>
            <w:hideMark/>
          </w:tcPr>
          <w:p w14:paraId="3E334D5F"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xml:space="preserve">Tier 1 capital </w:t>
            </w:r>
          </w:p>
        </w:tc>
        <w:tc>
          <w:tcPr>
            <w:tcW w:w="1458" w:type="dxa"/>
            <w:tcBorders>
              <w:top w:val="nil"/>
              <w:left w:val="nil"/>
              <w:bottom w:val="single" w:sz="4" w:space="0" w:color="auto"/>
              <w:right w:val="single" w:sz="4" w:space="0" w:color="auto"/>
            </w:tcBorders>
            <w:shd w:val="clear" w:color="auto" w:fill="auto"/>
            <w:noWrap/>
            <w:vAlign w:val="center"/>
            <w:hideMark/>
          </w:tcPr>
          <w:p w14:paraId="512C02E9" w14:textId="77777777" w:rsidR="004C1CA7" w:rsidRPr="004A6FC1" w:rsidRDefault="004C1CA7" w:rsidP="00040726">
            <w:pPr>
              <w:overflowPunct/>
              <w:autoSpaceDE/>
              <w:autoSpaceDN/>
              <w:adjustRightInd/>
              <w:textAlignment w:val="auto"/>
              <w:rPr>
                <w:b/>
                <w:bCs/>
                <w:color w:val="000000"/>
                <w:sz w:val="24"/>
                <w:szCs w:val="24"/>
                <w:lang w:val="en-CA" w:eastAsia="en-CA"/>
              </w:rPr>
            </w:pPr>
            <w:r>
              <w:rPr>
                <w:b/>
                <w:bCs/>
                <w:color w:val="000000"/>
                <w:sz w:val="24"/>
                <w:szCs w:val="24"/>
                <w:lang w:val="en-CA" w:eastAsia="en-CA"/>
              </w:rPr>
              <w:t xml:space="preserve">  17,108,994</w:t>
            </w:r>
          </w:p>
        </w:tc>
      </w:tr>
      <w:tr w:rsidR="004C1CA7" w:rsidRPr="004A6FC1" w14:paraId="3548E0DB" w14:textId="77777777" w:rsidTr="00040726">
        <w:trPr>
          <w:trHeight w:val="3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4D3F62B0"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21</w:t>
            </w:r>
          </w:p>
        </w:tc>
        <w:tc>
          <w:tcPr>
            <w:tcW w:w="7920" w:type="dxa"/>
            <w:tcBorders>
              <w:top w:val="nil"/>
              <w:left w:val="nil"/>
              <w:bottom w:val="single" w:sz="4" w:space="0" w:color="auto"/>
              <w:right w:val="single" w:sz="4" w:space="0" w:color="auto"/>
            </w:tcBorders>
            <w:shd w:val="clear" w:color="auto" w:fill="auto"/>
            <w:noWrap/>
            <w:vAlign w:val="center"/>
            <w:hideMark/>
          </w:tcPr>
          <w:p w14:paraId="13B9D6B4"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xml:space="preserve">Total exposures (sum of lines 3, 11, 16 and 19) </w:t>
            </w:r>
          </w:p>
        </w:tc>
        <w:tc>
          <w:tcPr>
            <w:tcW w:w="1458" w:type="dxa"/>
            <w:tcBorders>
              <w:top w:val="nil"/>
              <w:left w:val="nil"/>
              <w:bottom w:val="single" w:sz="4" w:space="0" w:color="auto"/>
              <w:right w:val="single" w:sz="4" w:space="0" w:color="auto"/>
            </w:tcBorders>
            <w:shd w:val="clear" w:color="auto" w:fill="auto"/>
            <w:noWrap/>
            <w:vAlign w:val="center"/>
            <w:hideMark/>
          </w:tcPr>
          <w:p w14:paraId="5B6E65EB" w14:textId="77777777" w:rsidR="004C1CA7" w:rsidRPr="004A6FC1" w:rsidRDefault="004C1CA7" w:rsidP="00040726">
            <w:pPr>
              <w:overflowPunct/>
              <w:autoSpaceDE/>
              <w:autoSpaceDN/>
              <w:adjustRightInd/>
              <w:textAlignment w:val="auto"/>
              <w:rPr>
                <w:b/>
                <w:bCs/>
                <w:color w:val="000000"/>
                <w:sz w:val="24"/>
                <w:szCs w:val="24"/>
                <w:lang w:val="en-CA" w:eastAsia="en-CA"/>
              </w:rPr>
            </w:pPr>
            <w:r>
              <w:rPr>
                <w:b/>
                <w:bCs/>
                <w:color w:val="000000"/>
                <w:sz w:val="24"/>
                <w:szCs w:val="24"/>
                <w:lang w:val="en-CA" w:eastAsia="en-CA"/>
              </w:rPr>
              <w:t xml:space="preserve">  72,942,788</w:t>
            </w:r>
          </w:p>
        </w:tc>
      </w:tr>
      <w:tr w:rsidR="004C1CA7" w:rsidRPr="004A6FC1" w14:paraId="17C15997" w14:textId="77777777" w:rsidTr="00040726">
        <w:trPr>
          <w:trHeight w:val="300"/>
        </w:trPr>
        <w:tc>
          <w:tcPr>
            <w:tcW w:w="8385" w:type="dxa"/>
            <w:gridSpan w:val="2"/>
            <w:tcBorders>
              <w:top w:val="single" w:sz="4" w:space="0" w:color="auto"/>
              <w:left w:val="single" w:sz="4" w:space="0" w:color="auto"/>
              <w:bottom w:val="single" w:sz="4" w:space="0" w:color="auto"/>
              <w:right w:val="nil"/>
            </w:tcBorders>
            <w:shd w:val="clear" w:color="auto" w:fill="auto"/>
            <w:noWrap/>
            <w:vAlign w:val="center"/>
            <w:hideMark/>
          </w:tcPr>
          <w:p w14:paraId="47E70E65"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Leverage ratio</w:t>
            </w:r>
          </w:p>
        </w:tc>
        <w:tc>
          <w:tcPr>
            <w:tcW w:w="1458" w:type="dxa"/>
            <w:tcBorders>
              <w:top w:val="nil"/>
              <w:left w:val="nil"/>
              <w:bottom w:val="single" w:sz="4" w:space="0" w:color="auto"/>
              <w:right w:val="single" w:sz="4" w:space="0" w:color="auto"/>
            </w:tcBorders>
            <w:shd w:val="clear" w:color="auto" w:fill="auto"/>
            <w:noWrap/>
            <w:vAlign w:val="center"/>
            <w:hideMark/>
          </w:tcPr>
          <w:p w14:paraId="0620148F"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w:t>
            </w:r>
          </w:p>
        </w:tc>
      </w:tr>
      <w:tr w:rsidR="004C1CA7" w:rsidRPr="004A6FC1" w14:paraId="59E4EB42" w14:textId="77777777" w:rsidTr="00040726">
        <w:trPr>
          <w:trHeight w:val="3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6F96ACB3"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22</w:t>
            </w:r>
          </w:p>
        </w:tc>
        <w:tc>
          <w:tcPr>
            <w:tcW w:w="7920" w:type="dxa"/>
            <w:tcBorders>
              <w:top w:val="nil"/>
              <w:left w:val="nil"/>
              <w:bottom w:val="single" w:sz="4" w:space="0" w:color="auto"/>
              <w:right w:val="single" w:sz="4" w:space="0" w:color="auto"/>
            </w:tcBorders>
            <w:shd w:val="clear" w:color="auto" w:fill="auto"/>
            <w:noWrap/>
            <w:vAlign w:val="center"/>
            <w:hideMark/>
          </w:tcPr>
          <w:p w14:paraId="026C4DBC"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Basel III leverage ratio</w:t>
            </w:r>
          </w:p>
        </w:tc>
        <w:tc>
          <w:tcPr>
            <w:tcW w:w="1458" w:type="dxa"/>
            <w:tcBorders>
              <w:top w:val="nil"/>
              <w:left w:val="nil"/>
              <w:bottom w:val="single" w:sz="4" w:space="0" w:color="auto"/>
              <w:right w:val="single" w:sz="4" w:space="0" w:color="auto"/>
            </w:tcBorders>
            <w:shd w:val="clear" w:color="auto" w:fill="auto"/>
            <w:noWrap/>
            <w:vAlign w:val="center"/>
            <w:hideMark/>
          </w:tcPr>
          <w:p w14:paraId="0FEEDEC5" w14:textId="77777777" w:rsidR="004C1CA7" w:rsidRPr="004A6FC1" w:rsidRDefault="004C1CA7" w:rsidP="00040726">
            <w:pPr>
              <w:overflowPunct/>
              <w:autoSpaceDE/>
              <w:autoSpaceDN/>
              <w:adjustRightInd/>
              <w:jc w:val="right"/>
              <w:textAlignment w:val="auto"/>
              <w:rPr>
                <w:b/>
                <w:bCs/>
                <w:color w:val="000000"/>
                <w:sz w:val="24"/>
                <w:szCs w:val="24"/>
                <w:lang w:val="en-CA" w:eastAsia="en-CA"/>
              </w:rPr>
            </w:pPr>
            <w:r>
              <w:rPr>
                <w:b/>
                <w:bCs/>
                <w:color w:val="000000"/>
                <w:sz w:val="24"/>
                <w:szCs w:val="24"/>
                <w:lang w:val="en-CA" w:eastAsia="en-CA"/>
              </w:rPr>
              <w:t>23.46</w:t>
            </w:r>
          </w:p>
        </w:tc>
      </w:tr>
    </w:tbl>
    <w:p w14:paraId="3E221C97" w14:textId="77777777" w:rsidR="004C1CA7" w:rsidRPr="004418C3" w:rsidRDefault="004C1CA7" w:rsidP="004C1CA7">
      <w:pPr>
        <w:rPr>
          <w:sz w:val="22"/>
          <w:szCs w:val="22"/>
        </w:rPr>
      </w:pPr>
    </w:p>
    <w:p w14:paraId="357EF9B3" w14:textId="77777777" w:rsidR="00014CB8" w:rsidRPr="004418C3" w:rsidRDefault="00014CB8" w:rsidP="00F043AE">
      <w:pPr>
        <w:overflowPunct/>
        <w:autoSpaceDE/>
        <w:autoSpaceDN/>
        <w:adjustRightInd/>
        <w:textAlignment w:val="auto"/>
        <w:rPr>
          <w:sz w:val="22"/>
          <w:szCs w:val="22"/>
        </w:rPr>
      </w:pPr>
    </w:p>
    <w:sectPr w:rsidR="00014CB8" w:rsidRPr="004418C3" w:rsidSect="002765F8">
      <w:footerReference w:type="default" r:id="rId1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17C36" w14:textId="77777777" w:rsidR="00AC480B" w:rsidRDefault="00AC480B" w:rsidP="00FF6E21">
      <w:r>
        <w:separator/>
      </w:r>
    </w:p>
  </w:endnote>
  <w:endnote w:type="continuationSeparator" w:id="0">
    <w:p w14:paraId="637A78F9" w14:textId="77777777" w:rsidR="00AC480B" w:rsidRDefault="00AC480B" w:rsidP="00FF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3260738"/>
      <w:docPartObj>
        <w:docPartGallery w:val="Page Numbers (Bottom of Page)"/>
        <w:docPartUnique/>
      </w:docPartObj>
    </w:sdtPr>
    <w:sdtEndPr/>
    <w:sdtContent>
      <w:sdt>
        <w:sdtPr>
          <w:id w:val="-1669238322"/>
          <w:docPartObj>
            <w:docPartGallery w:val="Page Numbers (Top of Page)"/>
            <w:docPartUnique/>
          </w:docPartObj>
        </w:sdtPr>
        <w:sdtEndPr/>
        <w:sdtContent>
          <w:p w14:paraId="39C58030" w14:textId="77777777" w:rsidR="00AC480B" w:rsidRDefault="00AC48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22</w:t>
            </w:r>
            <w:r>
              <w:rPr>
                <w:b/>
                <w:bCs/>
                <w:sz w:val="24"/>
                <w:szCs w:val="24"/>
              </w:rPr>
              <w:fldChar w:fldCharType="end"/>
            </w:r>
          </w:p>
        </w:sdtContent>
      </w:sdt>
    </w:sdtContent>
  </w:sdt>
  <w:p w14:paraId="68D38462" w14:textId="77777777" w:rsidR="00AC480B" w:rsidRDefault="00AC4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029F1" w14:textId="77777777" w:rsidR="00AC480B" w:rsidRDefault="00AC480B" w:rsidP="00FF6E21">
      <w:r>
        <w:separator/>
      </w:r>
    </w:p>
  </w:footnote>
  <w:footnote w:type="continuationSeparator" w:id="0">
    <w:p w14:paraId="410D2E1A" w14:textId="77777777" w:rsidR="00AC480B" w:rsidRDefault="00AC480B" w:rsidP="00FF6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1BCBD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34B8D"/>
    <w:multiLevelType w:val="hybridMultilevel"/>
    <w:tmpl w:val="32A403D2"/>
    <w:lvl w:ilvl="0" w:tplc="04090019">
      <w:start w:val="1"/>
      <w:numFmt w:val="lowerLetter"/>
      <w:lvlText w:val="%1."/>
      <w:lvlJc w:val="left"/>
      <w:pPr>
        <w:ind w:left="1490" w:hanging="360"/>
      </w:pPr>
      <w:rPr>
        <w:rFonts w:cs="Times New Roman"/>
      </w:rPr>
    </w:lvl>
    <w:lvl w:ilvl="1" w:tplc="10090019" w:tentative="1">
      <w:start w:val="1"/>
      <w:numFmt w:val="lowerLetter"/>
      <w:lvlText w:val="%2."/>
      <w:lvlJc w:val="left"/>
      <w:pPr>
        <w:ind w:left="2210" w:hanging="360"/>
      </w:pPr>
    </w:lvl>
    <w:lvl w:ilvl="2" w:tplc="1009001B" w:tentative="1">
      <w:start w:val="1"/>
      <w:numFmt w:val="lowerRoman"/>
      <w:lvlText w:val="%3."/>
      <w:lvlJc w:val="right"/>
      <w:pPr>
        <w:ind w:left="2930" w:hanging="180"/>
      </w:pPr>
    </w:lvl>
    <w:lvl w:ilvl="3" w:tplc="1009000F" w:tentative="1">
      <w:start w:val="1"/>
      <w:numFmt w:val="decimal"/>
      <w:lvlText w:val="%4."/>
      <w:lvlJc w:val="left"/>
      <w:pPr>
        <w:ind w:left="3650" w:hanging="360"/>
      </w:pPr>
    </w:lvl>
    <w:lvl w:ilvl="4" w:tplc="10090019" w:tentative="1">
      <w:start w:val="1"/>
      <w:numFmt w:val="lowerLetter"/>
      <w:lvlText w:val="%5."/>
      <w:lvlJc w:val="left"/>
      <w:pPr>
        <w:ind w:left="4370" w:hanging="360"/>
      </w:pPr>
    </w:lvl>
    <w:lvl w:ilvl="5" w:tplc="1009001B" w:tentative="1">
      <w:start w:val="1"/>
      <w:numFmt w:val="lowerRoman"/>
      <w:lvlText w:val="%6."/>
      <w:lvlJc w:val="right"/>
      <w:pPr>
        <w:ind w:left="5090" w:hanging="180"/>
      </w:pPr>
    </w:lvl>
    <w:lvl w:ilvl="6" w:tplc="1009000F" w:tentative="1">
      <w:start w:val="1"/>
      <w:numFmt w:val="decimal"/>
      <w:lvlText w:val="%7."/>
      <w:lvlJc w:val="left"/>
      <w:pPr>
        <w:ind w:left="5810" w:hanging="360"/>
      </w:pPr>
    </w:lvl>
    <w:lvl w:ilvl="7" w:tplc="10090019" w:tentative="1">
      <w:start w:val="1"/>
      <w:numFmt w:val="lowerLetter"/>
      <w:lvlText w:val="%8."/>
      <w:lvlJc w:val="left"/>
      <w:pPr>
        <w:ind w:left="6530" w:hanging="360"/>
      </w:pPr>
    </w:lvl>
    <w:lvl w:ilvl="8" w:tplc="1009001B" w:tentative="1">
      <w:start w:val="1"/>
      <w:numFmt w:val="lowerRoman"/>
      <w:lvlText w:val="%9."/>
      <w:lvlJc w:val="right"/>
      <w:pPr>
        <w:ind w:left="7250" w:hanging="180"/>
      </w:pPr>
    </w:lvl>
  </w:abstractNum>
  <w:abstractNum w:abstractNumId="2" w15:restartNumberingAfterBreak="0">
    <w:nsid w:val="08E558F6"/>
    <w:multiLevelType w:val="hybridMultilevel"/>
    <w:tmpl w:val="3F1EB3F6"/>
    <w:lvl w:ilvl="0" w:tplc="3FE24D10">
      <w:start w:val="7"/>
      <w:numFmt w:val="upperLetter"/>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1B42D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A417ED"/>
    <w:multiLevelType w:val="hybridMultilevel"/>
    <w:tmpl w:val="E78C8816"/>
    <w:lvl w:ilvl="0" w:tplc="CBEA5F7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D214401"/>
    <w:multiLevelType w:val="hybridMultilevel"/>
    <w:tmpl w:val="98C077B4"/>
    <w:lvl w:ilvl="0" w:tplc="04090001">
      <w:start w:val="1"/>
      <w:numFmt w:val="bullet"/>
      <w:lvlText w:val=""/>
      <w:lvlJc w:val="left"/>
      <w:pPr>
        <w:tabs>
          <w:tab w:val="num" w:pos="360"/>
        </w:tabs>
        <w:ind w:left="360" w:hanging="360"/>
      </w:pPr>
      <w:rPr>
        <w:rFonts w:ascii="Symbol" w:hAnsi="Symbol" w:hint="default"/>
      </w:rPr>
    </w:lvl>
    <w:lvl w:ilvl="1" w:tplc="8E3C2AA4">
      <w:numFmt w:val="bullet"/>
      <w:lvlText w:val="-"/>
      <w:lvlJc w:val="left"/>
      <w:pPr>
        <w:tabs>
          <w:tab w:val="num" w:pos="1080"/>
        </w:tabs>
        <w:ind w:left="1080" w:hanging="360"/>
      </w:pPr>
      <w:rPr>
        <w:rFonts w:ascii="Arial" w:eastAsia="Times New Roman" w:hAnsi="Arial" w:cs="Arial" w:hint="default"/>
      </w:rPr>
    </w:lvl>
    <w:lvl w:ilvl="2" w:tplc="1792C31C">
      <w:start w:val="8"/>
      <w:numFmt w:val="upperLetter"/>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4938BB"/>
    <w:multiLevelType w:val="hybridMultilevel"/>
    <w:tmpl w:val="B1524D98"/>
    <w:lvl w:ilvl="0" w:tplc="C7744814">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BCB393C"/>
    <w:multiLevelType w:val="hybridMultilevel"/>
    <w:tmpl w:val="08421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8420AEE"/>
    <w:multiLevelType w:val="hybridMultilevel"/>
    <w:tmpl w:val="CA468032"/>
    <w:lvl w:ilvl="0" w:tplc="47DAD8EC">
      <w:start w:val="6"/>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B66A3D"/>
    <w:multiLevelType w:val="hybridMultilevel"/>
    <w:tmpl w:val="CBDEC09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979288E"/>
    <w:multiLevelType w:val="hybridMultilevel"/>
    <w:tmpl w:val="007C022A"/>
    <w:lvl w:ilvl="0" w:tplc="1009000F">
      <w:start w:val="1"/>
      <w:numFmt w:val="decimal"/>
      <w:lvlText w:val="%1."/>
      <w:lvlJc w:val="left"/>
      <w:pPr>
        <w:ind w:left="1423" w:hanging="360"/>
      </w:pPr>
    </w:lvl>
    <w:lvl w:ilvl="1" w:tplc="10090019" w:tentative="1">
      <w:start w:val="1"/>
      <w:numFmt w:val="lowerLetter"/>
      <w:lvlText w:val="%2."/>
      <w:lvlJc w:val="left"/>
      <w:pPr>
        <w:ind w:left="2143" w:hanging="360"/>
      </w:pPr>
    </w:lvl>
    <w:lvl w:ilvl="2" w:tplc="1009001B" w:tentative="1">
      <w:start w:val="1"/>
      <w:numFmt w:val="lowerRoman"/>
      <w:lvlText w:val="%3."/>
      <w:lvlJc w:val="right"/>
      <w:pPr>
        <w:ind w:left="2863" w:hanging="180"/>
      </w:pPr>
    </w:lvl>
    <w:lvl w:ilvl="3" w:tplc="1009000F" w:tentative="1">
      <w:start w:val="1"/>
      <w:numFmt w:val="decimal"/>
      <w:lvlText w:val="%4."/>
      <w:lvlJc w:val="left"/>
      <w:pPr>
        <w:ind w:left="3583" w:hanging="360"/>
      </w:pPr>
    </w:lvl>
    <w:lvl w:ilvl="4" w:tplc="10090019" w:tentative="1">
      <w:start w:val="1"/>
      <w:numFmt w:val="lowerLetter"/>
      <w:lvlText w:val="%5."/>
      <w:lvlJc w:val="left"/>
      <w:pPr>
        <w:ind w:left="4303" w:hanging="360"/>
      </w:pPr>
    </w:lvl>
    <w:lvl w:ilvl="5" w:tplc="1009001B" w:tentative="1">
      <w:start w:val="1"/>
      <w:numFmt w:val="lowerRoman"/>
      <w:lvlText w:val="%6."/>
      <w:lvlJc w:val="right"/>
      <w:pPr>
        <w:ind w:left="5023" w:hanging="180"/>
      </w:pPr>
    </w:lvl>
    <w:lvl w:ilvl="6" w:tplc="1009000F" w:tentative="1">
      <w:start w:val="1"/>
      <w:numFmt w:val="decimal"/>
      <w:lvlText w:val="%7."/>
      <w:lvlJc w:val="left"/>
      <w:pPr>
        <w:ind w:left="5743" w:hanging="360"/>
      </w:pPr>
    </w:lvl>
    <w:lvl w:ilvl="7" w:tplc="10090019" w:tentative="1">
      <w:start w:val="1"/>
      <w:numFmt w:val="lowerLetter"/>
      <w:lvlText w:val="%8."/>
      <w:lvlJc w:val="left"/>
      <w:pPr>
        <w:ind w:left="6463" w:hanging="360"/>
      </w:pPr>
    </w:lvl>
    <w:lvl w:ilvl="8" w:tplc="1009001B" w:tentative="1">
      <w:start w:val="1"/>
      <w:numFmt w:val="lowerRoman"/>
      <w:lvlText w:val="%9."/>
      <w:lvlJc w:val="right"/>
      <w:pPr>
        <w:ind w:left="7183" w:hanging="180"/>
      </w:pPr>
    </w:lvl>
  </w:abstractNum>
  <w:abstractNum w:abstractNumId="11" w15:restartNumberingAfterBreak="0">
    <w:nsid w:val="44757475"/>
    <w:multiLevelType w:val="hybridMultilevel"/>
    <w:tmpl w:val="545CB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F2B57"/>
    <w:multiLevelType w:val="hybridMultilevel"/>
    <w:tmpl w:val="E13E91B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49DA65F9"/>
    <w:multiLevelType w:val="hybridMultilevel"/>
    <w:tmpl w:val="8D5EE684"/>
    <w:lvl w:ilvl="0" w:tplc="1792C31C">
      <w:start w:val="8"/>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BA966D3"/>
    <w:multiLevelType w:val="hybridMultilevel"/>
    <w:tmpl w:val="60E6D6FE"/>
    <w:lvl w:ilvl="0" w:tplc="A6EA07D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A61344"/>
    <w:multiLevelType w:val="hybridMultilevel"/>
    <w:tmpl w:val="C71E3F06"/>
    <w:lvl w:ilvl="0" w:tplc="5346F620">
      <w:start w:val="1"/>
      <w:numFmt w:val="lowerLetter"/>
      <w:lvlText w:val="(%1)"/>
      <w:lvlJc w:val="left"/>
      <w:pPr>
        <w:ind w:left="1440" w:hanging="72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6" w15:restartNumberingAfterBreak="0">
    <w:nsid w:val="5E7D2184"/>
    <w:multiLevelType w:val="hybridMultilevel"/>
    <w:tmpl w:val="E5EC32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0EE594E"/>
    <w:multiLevelType w:val="hybridMultilevel"/>
    <w:tmpl w:val="9B6ACF50"/>
    <w:lvl w:ilvl="0" w:tplc="1792C31C">
      <w:start w:val="8"/>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34A4D35"/>
    <w:multiLevelType w:val="multilevel"/>
    <w:tmpl w:val="71F675D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E442DE"/>
    <w:multiLevelType w:val="hybridMultilevel"/>
    <w:tmpl w:val="F27646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0EF5D51"/>
    <w:multiLevelType w:val="hybridMultilevel"/>
    <w:tmpl w:val="8E42E1EC"/>
    <w:lvl w:ilvl="0" w:tplc="04090019">
      <w:start w:val="1"/>
      <w:numFmt w:val="lowerLetter"/>
      <w:lvlText w:val="%1."/>
      <w:lvlJc w:val="left"/>
      <w:pPr>
        <w:ind w:left="770" w:hanging="360"/>
      </w:pPr>
      <w:rPr>
        <w:rFonts w:cs="Times New Roman"/>
      </w:r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num w:numId="1">
    <w:abstractNumId w:val="9"/>
  </w:num>
  <w:num w:numId="2">
    <w:abstractNumId w:val="11"/>
  </w:num>
  <w:num w:numId="3">
    <w:abstractNumId w:val="5"/>
  </w:num>
  <w:num w:numId="4">
    <w:abstractNumId w:val="8"/>
  </w:num>
  <w:num w:numId="5">
    <w:abstractNumId w:val="2"/>
  </w:num>
  <w:num w:numId="6">
    <w:abstractNumId w:val="0"/>
  </w:num>
  <w:num w:numId="7">
    <w:abstractNumId w:val="14"/>
  </w:num>
  <w:num w:numId="8">
    <w:abstractNumId w:val="15"/>
  </w:num>
  <w:num w:numId="9">
    <w:abstractNumId w:val="6"/>
  </w:num>
  <w:num w:numId="10">
    <w:abstractNumId w:val="4"/>
  </w:num>
  <w:num w:numId="11">
    <w:abstractNumId w:val="10"/>
  </w:num>
  <w:num w:numId="12">
    <w:abstractNumId w:val="13"/>
  </w:num>
  <w:num w:numId="13">
    <w:abstractNumId w:val="20"/>
  </w:num>
  <w:num w:numId="14">
    <w:abstractNumId w:val="1"/>
  </w:num>
  <w:num w:numId="15">
    <w:abstractNumId w:val="17"/>
  </w:num>
  <w:num w:numId="16">
    <w:abstractNumId w:val="12"/>
  </w:num>
  <w:num w:numId="17">
    <w:abstractNumId w:val="16"/>
  </w:num>
  <w:num w:numId="18">
    <w:abstractNumId w:val="3"/>
  </w:num>
  <w:num w:numId="19">
    <w:abstractNumId w:val="18"/>
  </w:num>
  <w:num w:numId="20">
    <w:abstractNumId w:val="19"/>
  </w:num>
  <w:num w:numId="2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formatting="1" w:enforcement="0"/>
  <w:defaultTabStop w:val="28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BA"/>
    <w:rsid w:val="00006FA3"/>
    <w:rsid w:val="000070EA"/>
    <w:rsid w:val="00007292"/>
    <w:rsid w:val="000109C9"/>
    <w:rsid w:val="00014CB8"/>
    <w:rsid w:val="00024311"/>
    <w:rsid w:val="00026E1D"/>
    <w:rsid w:val="00031210"/>
    <w:rsid w:val="000332CD"/>
    <w:rsid w:val="000369A0"/>
    <w:rsid w:val="00040726"/>
    <w:rsid w:val="000470E3"/>
    <w:rsid w:val="00050492"/>
    <w:rsid w:val="00050BD6"/>
    <w:rsid w:val="00057FB9"/>
    <w:rsid w:val="00063AA7"/>
    <w:rsid w:val="00090056"/>
    <w:rsid w:val="00092767"/>
    <w:rsid w:val="0009652C"/>
    <w:rsid w:val="000A0151"/>
    <w:rsid w:val="000A66FF"/>
    <w:rsid w:val="000A7527"/>
    <w:rsid w:val="000A7C9C"/>
    <w:rsid w:val="000C3C3A"/>
    <w:rsid w:val="000C4132"/>
    <w:rsid w:val="000C592D"/>
    <w:rsid w:val="000C5931"/>
    <w:rsid w:val="000D3C35"/>
    <w:rsid w:val="000D3DBF"/>
    <w:rsid w:val="000D60B8"/>
    <w:rsid w:val="000D729E"/>
    <w:rsid w:val="000E1CB9"/>
    <w:rsid w:val="000F2FC9"/>
    <w:rsid w:val="000F39D3"/>
    <w:rsid w:val="000F6245"/>
    <w:rsid w:val="00100959"/>
    <w:rsid w:val="00100AD2"/>
    <w:rsid w:val="0010434D"/>
    <w:rsid w:val="001050B5"/>
    <w:rsid w:val="001076AE"/>
    <w:rsid w:val="00112A63"/>
    <w:rsid w:val="00116AF2"/>
    <w:rsid w:val="00121E0F"/>
    <w:rsid w:val="00123EA2"/>
    <w:rsid w:val="00125F4F"/>
    <w:rsid w:val="001304E0"/>
    <w:rsid w:val="00136894"/>
    <w:rsid w:val="00140711"/>
    <w:rsid w:val="00144C89"/>
    <w:rsid w:val="001461D0"/>
    <w:rsid w:val="00146B99"/>
    <w:rsid w:val="00147534"/>
    <w:rsid w:val="00151A85"/>
    <w:rsid w:val="00151EB9"/>
    <w:rsid w:val="00153027"/>
    <w:rsid w:val="00155A9D"/>
    <w:rsid w:val="00157E70"/>
    <w:rsid w:val="0016039A"/>
    <w:rsid w:val="00160FE9"/>
    <w:rsid w:val="00161335"/>
    <w:rsid w:val="00162344"/>
    <w:rsid w:val="00162A44"/>
    <w:rsid w:val="00162F11"/>
    <w:rsid w:val="00166C7E"/>
    <w:rsid w:val="00167048"/>
    <w:rsid w:val="001727DC"/>
    <w:rsid w:val="00173182"/>
    <w:rsid w:val="001758B0"/>
    <w:rsid w:val="0018711F"/>
    <w:rsid w:val="0019048B"/>
    <w:rsid w:val="00190AAE"/>
    <w:rsid w:val="00193ACB"/>
    <w:rsid w:val="00193EE7"/>
    <w:rsid w:val="00197D6D"/>
    <w:rsid w:val="001A0A72"/>
    <w:rsid w:val="001A54FA"/>
    <w:rsid w:val="001A5A31"/>
    <w:rsid w:val="001B0A27"/>
    <w:rsid w:val="001B1A61"/>
    <w:rsid w:val="001B41FA"/>
    <w:rsid w:val="001B45D5"/>
    <w:rsid w:val="001B6943"/>
    <w:rsid w:val="001C38F2"/>
    <w:rsid w:val="001C5E36"/>
    <w:rsid w:val="001D5439"/>
    <w:rsid w:val="001D70E9"/>
    <w:rsid w:val="001D7622"/>
    <w:rsid w:val="001E21BA"/>
    <w:rsid w:val="001E465D"/>
    <w:rsid w:val="001E740F"/>
    <w:rsid w:val="001F18C7"/>
    <w:rsid w:val="001F4CF6"/>
    <w:rsid w:val="001F61CB"/>
    <w:rsid w:val="002002CA"/>
    <w:rsid w:val="002017C9"/>
    <w:rsid w:val="00202BEF"/>
    <w:rsid w:val="00203973"/>
    <w:rsid w:val="002108D8"/>
    <w:rsid w:val="00210A85"/>
    <w:rsid w:val="00221C10"/>
    <w:rsid w:val="00232ABA"/>
    <w:rsid w:val="002349F4"/>
    <w:rsid w:val="00236E9D"/>
    <w:rsid w:val="00242A9D"/>
    <w:rsid w:val="002517D3"/>
    <w:rsid w:val="002551A7"/>
    <w:rsid w:val="0026607F"/>
    <w:rsid w:val="002665BF"/>
    <w:rsid w:val="00271E50"/>
    <w:rsid w:val="00272CB4"/>
    <w:rsid w:val="002765F8"/>
    <w:rsid w:val="00276D87"/>
    <w:rsid w:val="00292402"/>
    <w:rsid w:val="002A4AC2"/>
    <w:rsid w:val="002B1F42"/>
    <w:rsid w:val="002B2C1E"/>
    <w:rsid w:val="002B51B1"/>
    <w:rsid w:val="002B6097"/>
    <w:rsid w:val="002C13CB"/>
    <w:rsid w:val="002C7F23"/>
    <w:rsid w:val="002D617E"/>
    <w:rsid w:val="002D6597"/>
    <w:rsid w:val="002E34A2"/>
    <w:rsid w:val="002E6BF1"/>
    <w:rsid w:val="002F28AC"/>
    <w:rsid w:val="002F4559"/>
    <w:rsid w:val="002F7951"/>
    <w:rsid w:val="003052AF"/>
    <w:rsid w:val="0030659D"/>
    <w:rsid w:val="00306D0D"/>
    <w:rsid w:val="0030742C"/>
    <w:rsid w:val="003112DD"/>
    <w:rsid w:val="0033129F"/>
    <w:rsid w:val="0033433A"/>
    <w:rsid w:val="0033692D"/>
    <w:rsid w:val="003375FA"/>
    <w:rsid w:val="00344BD7"/>
    <w:rsid w:val="00346965"/>
    <w:rsid w:val="00352193"/>
    <w:rsid w:val="003604F7"/>
    <w:rsid w:val="003629F5"/>
    <w:rsid w:val="003673AC"/>
    <w:rsid w:val="00373F43"/>
    <w:rsid w:val="00394AF7"/>
    <w:rsid w:val="00396461"/>
    <w:rsid w:val="003A495B"/>
    <w:rsid w:val="003A5C64"/>
    <w:rsid w:val="003A6D83"/>
    <w:rsid w:val="003B032C"/>
    <w:rsid w:val="003B0EBC"/>
    <w:rsid w:val="003B5065"/>
    <w:rsid w:val="003C0BCB"/>
    <w:rsid w:val="003C2982"/>
    <w:rsid w:val="003C2B28"/>
    <w:rsid w:val="003D4A96"/>
    <w:rsid w:val="003D6D88"/>
    <w:rsid w:val="003E1245"/>
    <w:rsid w:val="003E42E8"/>
    <w:rsid w:val="003F0241"/>
    <w:rsid w:val="003F6070"/>
    <w:rsid w:val="0040135A"/>
    <w:rsid w:val="0040136F"/>
    <w:rsid w:val="00402899"/>
    <w:rsid w:val="00402EAD"/>
    <w:rsid w:val="004155D7"/>
    <w:rsid w:val="00417EB2"/>
    <w:rsid w:val="00423B22"/>
    <w:rsid w:val="0043115A"/>
    <w:rsid w:val="004418C3"/>
    <w:rsid w:val="00441CE2"/>
    <w:rsid w:val="00442DF7"/>
    <w:rsid w:val="00444A7A"/>
    <w:rsid w:val="00445366"/>
    <w:rsid w:val="00450311"/>
    <w:rsid w:val="0045227C"/>
    <w:rsid w:val="004543D4"/>
    <w:rsid w:val="0046060C"/>
    <w:rsid w:val="00470947"/>
    <w:rsid w:val="004709B4"/>
    <w:rsid w:val="00476D93"/>
    <w:rsid w:val="0048011D"/>
    <w:rsid w:val="004815A6"/>
    <w:rsid w:val="0048247A"/>
    <w:rsid w:val="0048533D"/>
    <w:rsid w:val="004879DD"/>
    <w:rsid w:val="004A3FE6"/>
    <w:rsid w:val="004A6FC1"/>
    <w:rsid w:val="004B4AE3"/>
    <w:rsid w:val="004B4C2A"/>
    <w:rsid w:val="004C0CA8"/>
    <w:rsid w:val="004C116B"/>
    <w:rsid w:val="004C198E"/>
    <w:rsid w:val="004C1CA7"/>
    <w:rsid w:val="004D369C"/>
    <w:rsid w:val="004D7E1F"/>
    <w:rsid w:val="004E1466"/>
    <w:rsid w:val="004E27E6"/>
    <w:rsid w:val="004E55DF"/>
    <w:rsid w:val="004E7413"/>
    <w:rsid w:val="004F33D2"/>
    <w:rsid w:val="004F509A"/>
    <w:rsid w:val="004F73CD"/>
    <w:rsid w:val="005043B5"/>
    <w:rsid w:val="005066F6"/>
    <w:rsid w:val="00506819"/>
    <w:rsid w:val="005174D8"/>
    <w:rsid w:val="0052645E"/>
    <w:rsid w:val="00526740"/>
    <w:rsid w:val="00531A63"/>
    <w:rsid w:val="005415AF"/>
    <w:rsid w:val="00544C8E"/>
    <w:rsid w:val="00547B4D"/>
    <w:rsid w:val="005566C0"/>
    <w:rsid w:val="00556EA9"/>
    <w:rsid w:val="00571FAC"/>
    <w:rsid w:val="00581954"/>
    <w:rsid w:val="00586161"/>
    <w:rsid w:val="00596ACB"/>
    <w:rsid w:val="00597A7D"/>
    <w:rsid w:val="005A035A"/>
    <w:rsid w:val="005A26CB"/>
    <w:rsid w:val="005A69BD"/>
    <w:rsid w:val="005A798D"/>
    <w:rsid w:val="005B1E50"/>
    <w:rsid w:val="005B5DC6"/>
    <w:rsid w:val="005C5040"/>
    <w:rsid w:val="005C5239"/>
    <w:rsid w:val="005C5C3A"/>
    <w:rsid w:val="005C792C"/>
    <w:rsid w:val="005D0D65"/>
    <w:rsid w:val="005D4623"/>
    <w:rsid w:val="005E25A4"/>
    <w:rsid w:val="005E4DEA"/>
    <w:rsid w:val="005F0E75"/>
    <w:rsid w:val="005F2F76"/>
    <w:rsid w:val="00600B65"/>
    <w:rsid w:val="0060266A"/>
    <w:rsid w:val="006122CE"/>
    <w:rsid w:val="006135F4"/>
    <w:rsid w:val="00614CE6"/>
    <w:rsid w:val="0062213A"/>
    <w:rsid w:val="00624B2E"/>
    <w:rsid w:val="00631CFC"/>
    <w:rsid w:val="00644688"/>
    <w:rsid w:val="0065201D"/>
    <w:rsid w:val="0066137A"/>
    <w:rsid w:val="00675674"/>
    <w:rsid w:val="00675789"/>
    <w:rsid w:val="00681038"/>
    <w:rsid w:val="0068672A"/>
    <w:rsid w:val="00690079"/>
    <w:rsid w:val="006947A2"/>
    <w:rsid w:val="00697223"/>
    <w:rsid w:val="006A3770"/>
    <w:rsid w:val="006A70BF"/>
    <w:rsid w:val="006B07B1"/>
    <w:rsid w:val="006B2ECE"/>
    <w:rsid w:val="006C1701"/>
    <w:rsid w:val="006C1F29"/>
    <w:rsid w:val="006C2CF9"/>
    <w:rsid w:val="006C5B6B"/>
    <w:rsid w:val="006C625C"/>
    <w:rsid w:val="006D1567"/>
    <w:rsid w:val="006D201D"/>
    <w:rsid w:val="006D410B"/>
    <w:rsid w:val="006D4919"/>
    <w:rsid w:val="006D4943"/>
    <w:rsid w:val="006D6EDF"/>
    <w:rsid w:val="006E1DCC"/>
    <w:rsid w:val="006F08BA"/>
    <w:rsid w:val="006F5916"/>
    <w:rsid w:val="0070007D"/>
    <w:rsid w:val="00702104"/>
    <w:rsid w:val="00715919"/>
    <w:rsid w:val="00715B6F"/>
    <w:rsid w:val="00722697"/>
    <w:rsid w:val="0072455A"/>
    <w:rsid w:val="00727EB4"/>
    <w:rsid w:val="00732067"/>
    <w:rsid w:val="0074533B"/>
    <w:rsid w:val="00745CD3"/>
    <w:rsid w:val="00753AEB"/>
    <w:rsid w:val="00756042"/>
    <w:rsid w:val="00757C07"/>
    <w:rsid w:val="00760B9B"/>
    <w:rsid w:val="007650F6"/>
    <w:rsid w:val="00767316"/>
    <w:rsid w:val="007724B1"/>
    <w:rsid w:val="0078059E"/>
    <w:rsid w:val="00782576"/>
    <w:rsid w:val="0078392B"/>
    <w:rsid w:val="00792CFC"/>
    <w:rsid w:val="00795B0C"/>
    <w:rsid w:val="007A3886"/>
    <w:rsid w:val="007A49EE"/>
    <w:rsid w:val="007A7171"/>
    <w:rsid w:val="007B15FC"/>
    <w:rsid w:val="007B172F"/>
    <w:rsid w:val="007B1807"/>
    <w:rsid w:val="007C3039"/>
    <w:rsid w:val="007C62F6"/>
    <w:rsid w:val="007E06CF"/>
    <w:rsid w:val="007E24F3"/>
    <w:rsid w:val="007E26D7"/>
    <w:rsid w:val="007F0B29"/>
    <w:rsid w:val="007F1B33"/>
    <w:rsid w:val="007F29ED"/>
    <w:rsid w:val="007F3344"/>
    <w:rsid w:val="00806F8F"/>
    <w:rsid w:val="00807244"/>
    <w:rsid w:val="0080738B"/>
    <w:rsid w:val="00820C7A"/>
    <w:rsid w:val="008233D4"/>
    <w:rsid w:val="0082460D"/>
    <w:rsid w:val="008250FD"/>
    <w:rsid w:val="00826A19"/>
    <w:rsid w:val="008347B2"/>
    <w:rsid w:val="00835C26"/>
    <w:rsid w:val="00836A0C"/>
    <w:rsid w:val="00836F11"/>
    <w:rsid w:val="008378E4"/>
    <w:rsid w:val="00837E58"/>
    <w:rsid w:val="0084260C"/>
    <w:rsid w:val="00842B73"/>
    <w:rsid w:val="00843866"/>
    <w:rsid w:val="00845287"/>
    <w:rsid w:val="00845FB3"/>
    <w:rsid w:val="008471EE"/>
    <w:rsid w:val="00852009"/>
    <w:rsid w:val="008545E8"/>
    <w:rsid w:val="00857E99"/>
    <w:rsid w:val="0086004E"/>
    <w:rsid w:val="00864BAD"/>
    <w:rsid w:val="00872B63"/>
    <w:rsid w:val="00876D79"/>
    <w:rsid w:val="008817B9"/>
    <w:rsid w:val="00882C2C"/>
    <w:rsid w:val="00883862"/>
    <w:rsid w:val="00883C7C"/>
    <w:rsid w:val="008911E6"/>
    <w:rsid w:val="00891A21"/>
    <w:rsid w:val="008933C3"/>
    <w:rsid w:val="00897F15"/>
    <w:rsid w:val="008A122C"/>
    <w:rsid w:val="008A3B61"/>
    <w:rsid w:val="008B0D2D"/>
    <w:rsid w:val="008C1713"/>
    <w:rsid w:val="008C1B9F"/>
    <w:rsid w:val="008D1BEA"/>
    <w:rsid w:val="008F361D"/>
    <w:rsid w:val="008F3820"/>
    <w:rsid w:val="009015B7"/>
    <w:rsid w:val="00907F6C"/>
    <w:rsid w:val="00915CE5"/>
    <w:rsid w:val="00917F2D"/>
    <w:rsid w:val="00920864"/>
    <w:rsid w:val="00922707"/>
    <w:rsid w:val="009410BF"/>
    <w:rsid w:val="00942320"/>
    <w:rsid w:val="00945AC8"/>
    <w:rsid w:val="00945AFB"/>
    <w:rsid w:val="009468E7"/>
    <w:rsid w:val="00951B73"/>
    <w:rsid w:val="00954AC1"/>
    <w:rsid w:val="009574BD"/>
    <w:rsid w:val="00967913"/>
    <w:rsid w:val="00970ED1"/>
    <w:rsid w:val="0097155E"/>
    <w:rsid w:val="00977291"/>
    <w:rsid w:val="00977C96"/>
    <w:rsid w:val="00981466"/>
    <w:rsid w:val="009818A2"/>
    <w:rsid w:val="00981E55"/>
    <w:rsid w:val="009838A0"/>
    <w:rsid w:val="00985B97"/>
    <w:rsid w:val="00986838"/>
    <w:rsid w:val="00987A67"/>
    <w:rsid w:val="009937A5"/>
    <w:rsid w:val="00993DF5"/>
    <w:rsid w:val="009A4AE0"/>
    <w:rsid w:val="009A5D98"/>
    <w:rsid w:val="009B0AF5"/>
    <w:rsid w:val="009B4140"/>
    <w:rsid w:val="009B4E07"/>
    <w:rsid w:val="009B677E"/>
    <w:rsid w:val="009B699D"/>
    <w:rsid w:val="009C0F4A"/>
    <w:rsid w:val="009C597E"/>
    <w:rsid w:val="009C64DC"/>
    <w:rsid w:val="009D10B3"/>
    <w:rsid w:val="009D6E48"/>
    <w:rsid w:val="009E1AB2"/>
    <w:rsid w:val="009E411B"/>
    <w:rsid w:val="009E69C7"/>
    <w:rsid w:val="009E6AC6"/>
    <w:rsid w:val="00A00678"/>
    <w:rsid w:val="00A03EAE"/>
    <w:rsid w:val="00A1053B"/>
    <w:rsid w:val="00A10E85"/>
    <w:rsid w:val="00A13FD0"/>
    <w:rsid w:val="00A309BF"/>
    <w:rsid w:val="00A33C0E"/>
    <w:rsid w:val="00A34B3E"/>
    <w:rsid w:val="00A372AA"/>
    <w:rsid w:val="00A47C43"/>
    <w:rsid w:val="00A52F0C"/>
    <w:rsid w:val="00A53A2A"/>
    <w:rsid w:val="00A55ECC"/>
    <w:rsid w:val="00A65E4B"/>
    <w:rsid w:val="00A66194"/>
    <w:rsid w:val="00A663F7"/>
    <w:rsid w:val="00A73AE4"/>
    <w:rsid w:val="00A745C8"/>
    <w:rsid w:val="00A7476D"/>
    <w:rsid w:val="00A75100"/>
    <w:rsid w:val="00A807EB"/>
    <w:rsid w:val="00A82E79"/>
    <w:rsid w:val="00A84575"/>
    <w:rsid w:val="00A923A5"/>
    <w:rsid w:val="00A93647"/>
    <w:rsid w:val="00A94634"/>
    <w:rsid w:val="00A95EE4"/>
    <w:rsid w:val="00A97C0F"/>
    <w:rsid w:val="00AA00A3"/>
    <w:rsid w:val="00AA06AE"/>
    <w:rsid w:val="00AA3AEE"/>
    <w:rsid w:val="00AA4297"/>
    <w:rsid w:val="00AA4636"/>
    <w:rsid w:val="00AA59B7"/>
    <w:rsid w:val="00AA7C26"/>
    <w:rsid w:val="00AC206D"/>
    <w:rsid w:val="00AC317F"/>
    <w:rsid w:val="00AC480B"/>
    <w:rsid w:val="00AD5F8D"/>
    <w:rsid w:val="00AE079D"/>
    <w:rsid w:val="00AE09B8"/>
    <w:rsid w:val="00AE33F7"/>
    <w:rsid w:val="00AF141A"/>
    <w:rsid w:val="00AF19E9"/>
    <w:rsid w:val="00B00D10"/>
    <w:rsid w:val="00B017EE"/>
    <w:rsid w:val="00B06A31"/>
    <w:rsid w:val="00B07353"/>
    <w:rsid w:val="00B119A3"/>
    <w:rsid w:val="00B12D84"/>
    <w:rsid w:val="00B134EE"/>
    <w:rsid w:val="00B20DB1"/>
    <w:rsid w:val="00B22AD7"/>
    <w:rsid w:val="00B24A50"/>
    <w:rsid w:val="00B254AF"/>
    <w:rsid w:val="00B3005A"/>
    <w:rsid w:val="00B30179"/>
    <w:rsid w:val="00B437D6"/>
    <w:rsid w:val="00B45535"/>
    <w:rsid w:val="00B46604"/>
    <w:rsid w:val="00B47D3B"/>
    <w:rsid w:val="00B50C86"/>
    <w:rsid w:val="00B53676"/>
    <w:rsid w:val="00B574FA"/>
    <w:rsid w:val="00B5774E"/>
    <w:rsid w:val="00B60EA6"/>
    <w:rsid w:val="00B66239"/>
    <w:rsid w:val="00B7254C"/>
    <w:rsid w:val="00B75A77"/>
    <w:rsid w:val="00B85536"/>
    <w:rsid w:val="00B86DBC"/>
    <w:rsid w:val="00B9029B"/>
    <w:rsid w:val="00B92110"/>
    <w:rsid w:val="00B92324"/>
    <w:rsid w:val="00BA1210"/>
    <w:rsid w:val="00BA2B82"/>
    <w:rsid w:val="00BA540A"/>
    <w:rsid w:val="00BA76F4"/>
    <w:rsid w:val="00BB3491"/>
    <w:rsid w:val="00BB35D7"/>
    <w:rsid w:val="00BB6700"/>
    <w:rsid w:val="00BB7116"/>
    <w:rsid w:val="00BC04DE"/>
    <w:rsid w:val="00BC0839"/>
    <w:rsid w:val="00BC2205"/>
    <w:rsid w:val="00BC6936"/>
    <w:rsid w:val="00BD0E3A"/>
    <w:rsid w:val="00BD22FC"/>
    <w:rsid w:val="00BD6752"/>
    <w:rsid w:val="00BE774C"/>
    <w:rsid w:val="00BF1620"/>
    <w:rsid w:val="00BF328B"/>
    <w:rsid w:val="00C05D7E"/>
    <w:rsid w:val="00C1516E"/>
    <w:rsid w:val="00C21DDE"/>
    <w:rsid w:val="00C22BBC"/>
    <w:rsid w:val="00C3228E"/>
    <w:rsid w:val="00C43743"/>
    <w:rsid w:val="00C46021"/>
    <w:rsid w:val="00C469E5"/>
    <w:rsid w:val="00C524CC"/>
    <w:rsid w:val="00C55331"/>
    <w:rsid w:val="00C569B2"/>
    <w:rsid w:val="00C57A04"/>
    <w:rsid w:val="00C616D9"/>
    <w:rsid w:val="00C70160"/>
    <w:rsid w:val="00C7258C"/>
    <w:rsid w:val="00C73145"/>
    <w:rsid w:val="00C73B92"/>
    <w:rsid w:val="00C80D2E"/>
    <w:rsid w:val="00C83B64"/>
    <w:rsid w:val="00C93983"/>
    <w:rsid w:val="00CA0442"/>
    <w:rsid w:val="00CA063A"/>
    <w:rsid w:val="00CA2E9C"/>
    <w:rsid w:val="00CA39CA"/>
    <w:rsid w:val="00CB578D"/>
    <w:rsid w:val="00CD36C6"/>
    <w:rsid w:val="00CD6B63"/>
    <w:rsid w:val="00CE3662"/>
    <w:rsid w:val="00CE4B2F"/>
    <w:rsid w:val="00CF751B"/>
    <w:rsid w:val="00D0064A"/>
    <w:rsid w:val="00D16328"/>
    <w:rsid w:val="00D24F27"/>
    <w:rsid w:val="00D264F5"/>
    <w:rsid w:val="00D26F0B"/>
    <w:rsid w:val="00D3117F"/>
    <w:rsid w:val="00D37703"/>
    <w:rsid w:val="00D4748B"/>
    <w:rsid w:val="00D51697"/>
    <w:rsid w:val="00D548EB"/>
    <w:rsid w:val="00D554E4"/>
    <w:rsid w:val="00D55AD8"/>
    <w:rsid w:val="00D610A0"/>
    <w:rsid w:val="00D64517"/>
    <w:rsid w:val="00D6499D"/>
    <w:rsid w:val="00D721C1"/>
    <w:rsid w:val="00D72FD0"/>
    <w:rsid w:val="00D7319D"/>
    <w:rsid w:val="00D76BB4"/>
    <w:rsid w:val="00D80BF9"/>
    <w:rsid w:val="00D82B1F"/>
    <w:rsid w:val="00D86E63"/>
    <w:rsid w:val="00D9453D"/>
    <w:rsid w:val="00DA3DDE"/>
    <w:rsid w:val="00DA64AA"/>
    <w:rsid w:val="00DB3046"/>
    <w:rsid w:val="00DB73F4"/>
    <w:rsid w:val="00DD0912"/>
    <w:rsid w:val="00DD290B"/>
    <w:rsid w:val="00DD75BE"/>
    <w:rsid w:val="00DD7D44"/>
    <w:rsid w:val="00DE218B"/>
    <w:rsid w:val="00DE2C60"/>
    <w:rsid w:val="00DE3FDC"/>
    <w:rsid w:val="00DE57FD"/>
    <w:rsid w:val="00DE7E86"/>
    <w:rsid w:val="00DF0261"/>
    <w:rsid w:val="00DF1CD2"/>
    <w:rsid w:val="00DF311C"/>
    <w:rsid w:val="00DF4A8B"/>
    <w:rsid w:val="00DF7687"/>
    <w:rsid w:val="00E00470"/>
    <w:rsid w:val="00E0152C"/>
    <w:rsid w:val="00E03DF9"/>
    <w:rsid w:val="00E05A22"/>
    <w:rsid w:val="00E075D3"/>
    <w:rsid w:val="00E309E5"/>
    <w:rsid w:val="00E359E4"/>
    <w:rsid w:val="00E4030D"/>
    <w:rsid w:val="00E43967"/>
    <w:rsid w:val="00E504B6"/>
    <w:rsid w:val="00E54195"/>
    <w:rsid w:val="00E556C0"/>
    <w:rsid w:val="00E55B33"/>
    <w:rsid w:val="00E56D01"/>
    <w:rsid w:val="00E61DF7"/>
    <w:rsid w:val="00E63625"/>
    <w:rsid w:val="00E66AF8"/>
    <w:rsid w:val="00E82DC0"/>
    <w:rsid w:val="00E871D8"/>
    <w:rsid w:val="00E92021"/>
    <w:rsid w:val="00E94896"/>
    <w:rsid w:val="00E94B30"/>
    <w:rsid w:val="00E9653D"/>
    <w:rsid w:val="00EA1CD8"/>
    <w:rsid w:val="00EA4098"/>
    <w:rsid w:val="00EB063C"/>
    <w:rsid w:val="00EB222B"/>
    <w:rsid w:val="00EB59CC"/>
    <w:rsid w:val="00EB7091"/>
    <w:rsid w:val="00EC07BA"/>
    <w:rsid w:val="00EC2F65"/>
    <w:rsid w:val="00ED24B1"/>
    <w:rsid w:val="00ED30FB"/>
    <w:rsid w:val="00ED6644"/>
    <w:rsid w:val="00EE0DF4"/>
    <w:rsid w:val="00EE40F8"/>
    <w:rsid w:val="00F043AE"/>
    <w:rsid w:val="00F0685A"/>
    <w:rsid w:val="00F10587"/>
    <w:rsid w:val="00F10AF7"/>
    <w:rsid w:val="00F17AEC"/>
    <w:rsid w:val="00F21930"/>
    <w:rsid w:val="00F22129"/>
    <w:rsid w:val="00F225F2"/>
    <w:rsid w:val="00F226C2"/>
    <w:rsid w:val="00F24514"/>
    <w:rsid w:val="00F33760"/>
    <w:rsid w:val="00F36D2C"/>
    <w:rsid w:val="00F44317"/>
    <w:rsid w:val="00F52900"/>
    <w:rsid w:val="00F536AF"/>
    <w:rsid w:val="00F53D74"/>
    <w:rsid w:val="00F53F08"/>
    <w:rsid w:val="00F56AC0"/>
    <w:rsid w:val="00F57E57"/>
    <w:rsid w:val="00F63B8D"/>
    <w:rsid w:val="00F64E9E"/>
    <w:rsid w:val="00F72431"/>
    <w:rsid w:val="00F807A6"/>
    <w:rsid w:val="00F821E4"/>
    <w:rsid w:val="00F82EA7"/>
    <w:rsid w:val="00F84A56"/>
    <w:rsid w:val="00F93CFA"/>
    <w:rsid w:val="00F941BD"/>
    <w:rsid w:val="00F971FC"/>
    <w:rsid w:val="00F97D13"/>
    <w:rsid w:val="00FA3153"/>
    <w:rsid w:val="00FA5FCB"/>
    <w:rsid w:val="00FA75F6"/>
    <w:rsid w:val="00FB2BDC"/>
    <w:rsid w:val="00FB3FA9"/>
    <w:rsid w:val="00FB613F"/>
    <w:rsid w:val="00FC160F"/>
    <w:rsid w:val="00FC2B12"/>
    <w:rsid w:val="00FC77C9"/>
    <w:rsid w:val="00FD6F8C"/>
    <w:rsid w:val="00FE0997"/>
    <w:rsid w:val="00FE1B10"/>
    <w:rsid w:val="00FE598D"/>
    <w:rsid w:val="00FF2A02"/>
    <w:rsid w:val="00FF39CB"/>
    <w:rsid w:val="00FF6E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BFBD59"/>
  <w15:docId w15:val="{5407AE29-984F-409D-A952-B4A2531E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7B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Heading1">
    <w:name w:val="heading 1"/>
    <w:basedOn w:val="Normal"/>
    <w:next w:val="DefaultText"/>
    <w:link w:val="Heading1Char"/>
    <w:qFormat/>
    <w:rsid w:val="00EC07BA"/>
    <w:pPr>
      <w:spacing w:before="280"/>
      <w:outlineLvl w:val="0"/>
    </w:pPr>
    <w:rPr>
      <w:rFonts w:ascii="Arial Black" w:hAnsi="Arial Black"/>
      <w:sz w:val="28"/>
      <w:lang w:val="x-none"/>
    </w:rPr>
  </w:style>
  <w:style w:type="paragraph" w:styleId="Heading2">
    <w:name w:val="heading 2"/>
    <w:basedOn w:val="Normal"/>
    <w:next w:val="DefaultText"/>
    <w:link w:val="Heading2Char"/>
    <w:qFormat/>
    <w:rsid w:val="00EC07BA"/>
    <w:pPr>
      <w:spacing w:before="120"/>
      <w:outlineLvl w:val="1"/>
    </w:pPr>
    <w:rPr>
      <w:rFonts w:ascii="Arial" w:hAnsi="Arial"/>
      <w:b/>
      <w:sz w:val="24"/>
      <w:lang w:val="x-none"/>
    </w:rPr>
  </w:style>
  <w:style w:type="paragraph" w:styleId="Heading3">
    <w:name w:val="heading 3"/>
    <w:basedOn w:val="Normal"/>
    <w:next w:val="DefaultText"/>
    <w:link w:val="Heading3Char"/>
    <w:qFormat/>
    <w:rsid w:val="00EC07BA"/>
    <w:pPr>
      <w:spacing w:before="120"/>
      <w:outlineLvl w:val="2"/>
    </w:pPr>
    <w:rPr>
      <w:b/>
      <w:sz w:val="24"/>
      <w:lang w:val="x-none"/>
    </w:rPr>
  </w:style>
  <w:style w:type="paragraph" w:styleId="Heading4">
    <w:name w:val="heading 4"/>
    <w:basedOn w:val="Normal"/>
    <w:next w:val="Normal"/>
    <w:link w:val="Heading4Char"/>
    <w:qFormat/>
    <w:rsid w:val="00EC07BA"/>
    <w:pPr>
      <w:keepNext/>
      <w:ind w:left="360" w:right="244"/>
      <w:jc w:val="both"/>
      <w:outlineLvl w:val="3"/>
    </w:pPr>
    <w:rPr>
      <w:b/>
      <w:sz w:val="26"/>
    </w:rPr>
  </w:style>
  <w:style w:type="paragraph" w:styleId="Heading5">
    <w:name w:val="heading 5"/>
    <w:basedOn w:val="Normal"/>
    <w:next w:val="Normal"/>
    <w:link w:val="Heading5Char"/>
    <w:qFormat/>
    <w:rsid w:val="00EC07BA"/>
    <w:pPr>
      <w:keepNext/>
      <w:outlineLvl w:val="4"/>
    </w:pPr>
    <w:rPr>
      <w:b/>
      <w:bCs/>
    </w:rPr>
  </w:style>
  <w:style w:type="paragraph" w:styleId="Heading6">
    <w:name w:val="heading 6"/>
    <w:basedOn w:val="Normal"/>
    <w:next w:val="Normal"/>
    <w:link w:val="Heading6Char"/>
    <w:qFormat/>
    <w:rsid w:val="00EC07BA"/>
    <w:pPr>
      <w:keepNext/>
      <w:jc w:val="center"/>
      <w:outlineLvl w:val="5"/>
    </w:pPr>
  </w:style>
  <w:style w:type="paragraph" w:styleId="Heading7">
    <w:name w:val="heading 7"/>
    <w:basedOn w:val="Normal"/>
    <w:next w:val="Normal"/>
    <w:link w:val="Heading7Char"/>
    <w:qFormat/>
    <w:rsid w:val="00EC07BA"/>
    <w:pPr>
      <w:keepNext/>
      <w:ind w:right="73"/>
      <w:jc w:val="right"/>
      <w:outlineLvl w:val="6"/>
    </w:pPr>
    <w:rPr>
      <w:sz w:val="24"/>
    </w:rPr>
  </w:style>
  <w:style w:type="paragraph" w:styleId="Heading8">
    <w:name w:val="heading 8"/>
    <w:basedOn w:val="Normal"/>
    <w:next w:val="Normal"/>
    <w:link w:val="Heading8Char"/>
    <w:qFormat/>
    <w:rsid w:val="00EC07BA"/>
    <w:pPr>
      <w:keepNext/>
      <w:jc w:val="center"/>
      <w:outlineLvl w:val="7"/>
    </w:pPr>
    <w:rPr>
      <w:rFonts w:eastAsia="Arial Unicode MS"/>
      <w:i/>
      <w:iCs/>
      <w:sz w:val="24"/>
      <w:szCs w:val="24"/>
    </w:rPr>
  </w:style>
  <w:style w:type="paragraph" w:styleId="Heading9">
    <w:name w:val="heading 9"/>
    <w:basedOn w:val="Normal"/>
    <w:next w:val="Normal"/>
    <w:link w:val="Heading9Char"/>
    <w:qFormat/>
    <w:rsid w:val="00EC07BA"/>
    <w:pPr>
      <w:keepNext/>
      <w:ind w:left="1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7BA"/>
    <w:rPr>
      <w:rFonts w:ascii="Arial Black" w:eastAsia="Times New Roman" w:hAnsi="Arial Black" w:cs="Times New Roman"/>
      <w:sz w:val="28"/>
      <w:szCs w:val="20"/>
      <w:lang w:val="x-none"/>
    </w:rPr>
  </w:style>
  <w:style w:type="character" w:customStyle="1" w:styleId="Heading2Char">
    <w:name w:val="Heading 2 Char"/>
    <w:basedOn w:val="DefaultParagraphFont"/>
    <w:link w:val="Heading2"/>
    <w:rsid w:val="00EC07BA"/>
    <w:rPr>
      <w:rFonts w:ascii="Arial" w:eastAsia="Times New Roman" w:hAnsi="Arial" w:cs="Times New Roman"/>
      <w:b/>
      <w:sz w:val="24"/>
      <w:szCs w:val="20"/>
      <w:lang w:val="x-none"/>
    </w:rPr>
  </w:style>
  <w:style w:type="character" w:customStyle="1" w:styleId="Heading3Char">
    <w:name w:val="Heading 3 Char"/>
    <w:basedOn w:val="DefaultParagraphFont"/>
    <w:link w:val="Heading3"/>
    <w:rsid w:val="00EC07BA"/>
    <w:rPr>
      <w:rFonts w:ascii="Times New Roman" w:eastAsia="Times New Roman" w:hAnsi="Times New Roman" w:cs="Times New Roman"/>
      <w:b/>
      <w:sz w:val="24"/>
      <w:szCs w:val="20"/>
      <w:lang w:val="x-none"/>
    </w:rPr>
  </w:style>
  <w:style w:type="character" w:customStyle="1" w:styleId="Heading4Char">
    <w:name w:val="Heading 4 Char"/>
    <w:basedOn w:val="DefaultParagraphFont"/>
    <w:link w:val="Heading4"/>
    <w:rsid w:val="00EC07BA"/>
    <w:rPr>
      <w:rFonts w:ascii="Times New Roman" w:eastAsia="Times New Roman" w:hAnsi="Times New Roman" w:cs="Times New Roman"/>
      <w:b/>
      <w:sz w:val="26"/>
      <w:szCs w:val="20"/>
      <w:lang w:val="en-GB"/>
    </w:rPr>
  </w:style>
  <w:style w:type="character" w:customStyle="1" w:styleId="Heading5Char">
    <w:name w:val="Heading 5 Char"/>
    <w:basedOn w:val="DefaultParagraphFont"/>
    <w:link w:val="Heading5"/>
    <w:rsid w:val="00EC07BA"/>
    <w:rPr>
      <w:rFonts w:ascii="Times New Roman" w:eastAsia="Times New Roman" w:hAnsi="Times New Roman" w:cs="Times New Roman"/>
      <w:b/>
      <w:bCs/>
      <w:sz w:val="20"/>
      <w:szCs w:val="20"/>
      <w:lang w:val="en-GB"/>
    </w:rPr>
  </w:style>
  <w:style w:type="character" w:customStyle="1" w:styleId="Heading6Char">
    <w:name w:val="Heading 6 Char"/>
    <w:basedOn w:val="DefaultParagraphFont"/>
    <w:link w:val="Heading6"/>
    <w:rsid w:val="00EC07BA"/>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EC07BA"/>
    <w:rPr>
      <w:rFonts w:ascii="Times New Roman" w:eastAsia="Times New Roman" w:hAnsi="Times New Roman" w:cs="Times New Roman"/>
      <w:sz w:val="24"/>
      <w:szCs w:val="20"/>
      <w:lang w:val="en-GB"/>
    </w:rPr>
  </w:style>
  <w:style w:type="character" w:customStyle="1" w:styleId="Heading8Char">
    <w:name w:val="Heading 8 Char"/>
    <w:basedOn w:val="DefaultParagraphFont"/>
    <w:link w:val="Heading8"/>
    <w:rsid w:val="00EC07BA"/>
    <w:rPr>
      <w:rFonts w:ascii="Times New Roman" w:eastAsia="Arial Unicode MS" w:hAnsi="Times New Roman" w:cs="Times New Roman"/>
      <w:i/>
      <w:iCs/>
      <w:sz w:val="24"/>
      <w:szCs w:val="24"/>
      <w:lang w:val="en-GB"/>
    </w:rPr>
  </w:style>
  <w:style w:type="character" w:customStyle="1" w:styleId="Heading9Char">
    <w:name w:val="Heading 9 Char"/>
    <w:basedOn w:val="DefaultParagraphFont"/>
    <w:link w:val="Heading9"/>
    <w:rsid w:val="00EC07BA"/>
    <w:rPr>
      <w:rFonts w:ascii="Times New Roman" w:eastAsia="Times New Roman" w:hAnsi="Times New Roman" w:cs="Times New Roman"/>
      <w:b/>
      <w:sz w:val="24"/>
      <w:szCs w:val="20"/>
      <w:lang w:val="en-GB"/>
    </w:rPr>
  </w:style>
  <w:style w:type="paragraph" w:customStyle="1" w:styleId="DefaultText">
    <w:name w:val="Default Text"/>
    <w:basedOn w:val="Normal"/>
    <w:rsid w:val="00EC07BA"/>
    <w:rPr>
      <w:sz w:val="24"/>
      <w:lang w:val="x-none"/>
    </w:rPr>
  </w:style>
  <w:style w:type="paragraph" w:styleId="Title">
    <w:name w:val="Title"/>
    <w:basedOn w:val="Normal"/>
    <w:next w:val="Heading1"/>
    <w:link w:val="TitleChar"/>
    <w:qFormat/>
    <w:rsid w:val="00EC07BA"/>
    <w:pPr>
      <w:spacing w:after="240"/>
      <w:jc w:val="center"/>
    </w:pPr>
    <w:rPr>
      <w:rFonts w:ascii="Arial Black" w:hAnsi="Arial Black"/>
      <w:sz w:val="48"/>
      <w:lang w:val="x-none"/>
    </w:rPr>
  </w:style>
  <w:style w:type="character" w:customStyle="1" w:styleId="TitleChar">
    <w:name w:val="Title Char"/>
    <w:basedOn w:val="DefaultParagraphFont"/>
    <w:link w:val="Title"/>
    <w:rsid w:val="00EC07BA"/>
    <w:rPr>
      <w:rFonts w:ascii="Arial Black" w:eastAsia="Times New Roman" w:hAnsi="Arial Black" w:cs="Times New Roman"/>
      <w:sz w:val="48"/>
      <w:szCs w:val="20"/>
      <w:lang w:val="x-none"/>
    </w:rPr>
  </w:style>
  <w:style w:type="paragraph" w:styleId="BodyText2">
    <w:name w:val="Body Text 2"/>
    <w:basedOn w:val="Normal"/>
    <w:link w:val="BodyText2Char"/>
    <w:rsid w:val="00EC07BA"/>
    <w:pPr>
      <w:ind w:left="1080"/>
      <w:jc w:val="both"/>
    </w:pPr>
    <w:rPr>
      <w:sz w:val="24"/>
    </w:rPr>
  </w:style>
  <w:style w:type="character" w:customStyle="1" w:styleId="BodyText2Char">
    <w:name w:val="Body Text 2 Char"/>
    <w:basedOn w:val="DefaultParagraphFont"/>
    <w:link w:val="BodyText2"/>
    <w:rsid w:val="00EC07BA"/>
    <w:rPr>
      <w:rFonts w:ascii="Times New Roman" w:eastAsia="Times New Roman" w:hAnsi="Times New Roman" w:cs="Times New Roman"/>
      <w:sz w:val="24"/>
      <w:szCs w:val="20"/>
      <w:lang w:val="en-GB"/>
    </w:rPr>
  </w:style>
  <w:style w:type="paragraph" w:customStyle="1" w:styleId="DefaultText1">
    <w:name w:val="Default Text:1"/>
    <w:basedOn w:val="Normal"/>
    <w:rsid w:val="00EC07BA"/>
    <w:rPr>
      <w:sz w:val="24"/>
      <w:lang w:val="x-none"/>
    </w:rPr>
  </w:style>
  <w:style w:type="paragraph" w:customStyle="1" w:styleId="OutlineNotIndented">
    <w:name w:val="Outline (Not Indented)"/>
    <w:basedOn w:val="Normal"/>
    <w:rsid w:val="00EC07BA"/>
    <w:rPr>
      <w:sz w:val="24"/>
      <w:lang w:val="x-none"/>
    </w:rPr>
  </w:style>
  <w:style w:type="paragraph" w:customStyle="1" w:styleId="OutlineIndented">
    <w:name w:val="Outline (Indented)"/>
    <w:basedOn w:val="Normal"/>
    <w:rsid w:val="00EC07BA"/>
    <w:rPr>
      <w:sz w:val="24"/>
      <w:lang w:val="x-none"/>
    </w:rPr>
  </w:style>
  <w:style w:type="paragraph" w:customStyle="1" w:styleId="TableText">
    <w:name w:val="Table Text"/>
    <w:basedOn w:val="Normal"/>
    <w:rsid w:val="00EC07BA"/>
    <w:pPr>
      <w:tabs>
        <w:tab w:val="decimal" w:pos="0"/>
      </w:tabs>
    </w:pPr>
    <w:rPr>
      <w:sz w:val="24"/>
      <w:lang w:val="x-none"/>
    </w:rPr>
  </w:style>
  <w:style w:type="paragraph" w:customStyle="1" w:styleId="NumberList">
    <w:name w:val="Number List"/>
    <w:basedOn w:val="Normal"/>
    <w:rsid w:val="00EC07BA"/>
    <w:rPr>
      <w:sz w:val="24"/>
      <w:lang w:val="x-none"/>
    </w:rPr>
  </w:style>
  <w:style w:type="paragraph" w:customStyle="1" w:styleId="FirstLineIndent">
    <w:name w:val="First Line Indent"/>
    <w:basedOn w:val="Normal"/>
    <w:rsid w:val="00EC07BA"/>
    <w:pPr>
      <w:ind w:firstLine="720"/>
    </w:pPr>
    <w:rPr>
      <w:sz w:val="24"/>
      <w:lang w:val="x-none"/>
    </w:rPr>
  </w:style>
  <w:style w:type="paragraph" w:customStyle="1" w:styleId="Bullet2">
    <w:name w:val="Bullet 2"/>
    <w:basedOn w:val="Normal"/>
    <w:rsid w:val="00EC07BA"/>
    <w:rPr>
      <w:sz w:val="24"/>
      <w:lang w:val="x-none"/>
    </w:rPr>
  </w:style>
  <w:style w:type="paragraph" w:customStyle="1" w:styleId="Bullet1">
    <w:name w:val="Bullet 1"/>
    <w:basedOn w:val="Normal"/>
    <w:rsid w:val="00EC07BA"/>
    <w:rPr>
      <w:sz w:val="24"/>
      <w:lang w:val="x-none"/>
    </w:rPr>
  </w:style>
  <w:style w:type="paragraph" w:customStyle="1" w:styleId="BodySingle">
    <w:name w:val="Body Single"/>
    <w:basedOn w:val="Normal"/>
    <w:rsid w:val="00EC07BA"/>
    <w:rPr>
      <w:sz w:val="24"/>
      <w:lang w:val="x-none"/>
    </w:rPr>
  </w:style>
  <w:style w:type="character" w:customStyle="1" w:styleId="DefaultPara">
    <w:name w:val="Default Para"/>
    <w:rsid w:val="00EC07BA"/>
    <w:rPr>
      <w:rFonts w:ascii="Times New Roman" w:hAnsi="Times New Roman"/>
      <w:color w:val="auto"/>
      <w:spacing w:val="0"/>
      <w:sz w:val="24"/>
    </w:rPr>
  </w:style>
  <w:style w:type="paragraph" w:styleId="BodyTextIndent">
    <w:name w:val="Body Text Indent"/>
    <w:basedOn w:val="Normal"/>
    <w:link w:val="BodyTextIndentChar"/>
    <w:rsid w:val="00EC07BA"/>
    <w:pPr>
      <w:tabs>
        <w:tab w:val="left" w:pos="-1800"/>
        <w:tab w:val="left" w:pos="360"/>
      </w:tabs>
      <w:ind w:left="720"/>
      <w:jc w:val="both"/>
    </w:pPr>
    <w:rPr>
      <w:sz w:val="24"/>
    </w:rPr>
  </w:style>
  <w:style w:type="character" w:customStyle="1" w:styleId="BodyTextIndentChar">
    <w:name w:val="Body Text Indent Char"/>
    <w:basedOn w:val="DefaultParagraphFont"/>
    <w:link w:val="BodyTextIndent"/>
    <w:rsid w:val="00EC07BA"/>
    <w:rPr>
      <w:rFonts w:ascii="Times New Roman" w:eastAsia="Times New Roman" w:hAnsi="Times New Roman" w:cs="Times New Roman"/>
      <w:sz w:val="24"/>
      <w:szCs w:val="20"/>
      <w:lang w:val="en-GB"/>
    </w:rPr>
  </w:style>
  <w:style w:type="paragraph" w:styleId="BodyTextIndent2">
    <w:name w:val="Body Text Indent 2"/>
    <w:basedOn w:val="Normal"/>
    <w:link w:val="BodyTextIndent2Char"/>
    <w:rsid w:val="00EC07BA"/>
    <w:pPr>
      <w:overflowPunct/>
      <w:autoSpaceDE/>
      <w:autoSpaceDN/>
      <w:adjustRightInd/>
      <w:ind w:left="720"/>
      <w:jc w:val="both"/>
      <w:textAlignment w:val="auto"/>
    </w:pPr>
    <w:rPr>
      <w:sz w:val="24"/>
      <w:lang w:val="en-US"/>
    </w:rPr>
  </w:style>
  <w:style w:type="character" w:customStyle="1" w:styleId="BodyTextIndent2Char">
    <w:name w:val="Body Text Indent 2 Char"/>
    <w:basedOn w:val="DefaultParagraphFont"/>
    <w:link w:val="BodyTextIndent2"/>
    <w:rsid w:val="00EC07BA"/>
    <w:rPr>
      <w:rFonts w:ascii="Times New Roman" w:eastAsia="Times New Roman" w:hAnsi="Times New Roman" w:cs="Times New Roman"/>
      <w:sz w:val="24"/>
      <w:szCs w:val="20"/>
      <w:lang w:val="en-US"/>
    </w:rPr>
  </w:style>
  <w:style w:type="paragraph" w:styleId="Header">
    <w:name w:val="header"/>
    <w:basedOn w:val="Normal"/>
    <w:link w:val="HeaderChar"/>
    <w:rsid w:val="00EC07BA"/>
    <w:pPr>
      <w:tabs>
        <w:tab w:val="center" w:pos="4320"/>
        <w:tab w:val="right" w:pos="8640"/>
      </w:tabs>
    </w:pPr>
  </w:style>
  <w:style w:type="character" w:customStyle="1" w:styleId="HeaderChar">
    <w:name w:val="Header Char"/>
    <w:basedOn w:val="DefaultParagraphFont"/>
    <w:link w:val="Header"/>
    <w:rsid w:val="00EC07BA"/>
    <w:rPr>
      <w:rFonts w:ascii="Times New Roman" w:eastAsia="Times New Roman" w:hAnsi="Times New Roman" w:cs="Times New Roman"/>
      <w:sz w:val="20"/>
      <w:szCs w:val="20"/>
      <w:lang w:val="en-GB"/>
    </w:rPr>
  </w:style>
  <w:style w:type="paragraph" w:styleId="Footer">
    <w:name w:val="footer"/>
    <w:basedOn w:val="Normal"/>
    <w:link w:val="FooterChar"/>
    <w:uiPriority w:val="99"/>
    <w:rsid w:val="00EC07BA"/>
    <w:pPr>
      <w:tabs>
        <w:tab w:val="center" w:pos="4320"/>
        <w:tab w:val="right" w:pos="8640"/>
      </w:tabs>
    </w:pPr>
  </w:style>
  <w:style w:type="character" w:customStyle="1" w:styleId="FooterChar">
    <w:name w:val="Footer Char"/>
    <w:basedOn w:val="DefaultParagraphFont"/>
    <w:link w:val="Footer"/>
    <w:uiPriority w:val="99"/>
    <w:rsid w:val="00EC07BA"/>
    <w:rPr>
      <w:rFonts w:ascii="Times New Roman" w:eastAsia="Times New Roman" w:hAnsi="Times New Roman" w:cs="Times New Roman"/>
      <w:sz w:val="20"/>
      <w:szCs w:val="20"/>
      <w:lang w:val="en-GB"/>
    </w:rPr>
  </w:style>
  <w:style w:type="paragraph" w:styleId="BodyText">
    <w:name w:val="Body Text"/>
    <w:basedOn w:val="Normal"/>
    <w:link w:val="BodyTextChar"/>
    <w:rsid w:val="00EC07BA"/>
    <w:pPr>
      <w:overflowPunct/>
      <w:autoSpaceDE/>
      <w:autoSpaceDN/>
      <w:adjustRightInd/>
      <w:jc w:val="both"/>
      <w:textAlignment w:val="auto"/>
    </w:pPr>
    <w:rPr>
      <w:rFonts w:ascii="Tahoma" w:hAnsi="Tahoma" w:cs="Tahoma"/>
      <w:sz w:val="24"/>
      <w:szCs w:val="24"/>
      <w:lang w:val="en-US"/>
    </w:rPr>
  </w:style>
  <w:style w:type="character" w:customStyle="1" w:styleId="BodyTextChar">
    <w:name w:val="Body Text Char"/>
    <w:basedOn w:val="DefaultParagraphFont"/>
    <w:link w:val="BodyText"/>
    <w:rsid w:val="00EC07BA"/>
    <w:rPr>
      <w:rFonts w:ascii="Tahoma" w:eastAsia="Times New Roman" w:hAnsi="Tahoma" w:cs="Tahoma"/>
      <w:sz w:val="24"/>
      <w:szCs w:val="24"/>
      <w:lang w:val="en-US"/>
    </w:rPr>
  </w:style>
  <w:style w:type="paragraph" w:styleId="BodyTextIndent3">
    <w:name w:val="Body Text Indent 3"/>
    <w:basedOn w:val="Normal"/>
    <w:link w:val="BodyTextIndent3Char"/>
    <w:rsid w:val="00EC07BA"/>
    <w:pPr>
      <w:overflowPunct/>
      <w:autoSpaceDE/>
      <w:autoSpaceDN/>
      <w:adjustRightInd/>
      <w:ind w:left="720"/>
      <w:jc w:val="both"/>
      <w:textAlignment w:val="auto"/>
    </w:pPr>
    <w:rPr>
      <w:rFonts w:ascii="Comic Sans MS" w:hAnsi="Comic Sans MS"/>
      <w:i/>
      <w:sz w:val="24"/>
      <w:lang w:val="en-US"/>
    </w:rPr>
  </w:style>
  <w:style w:type="character" w:customStyle="1" w:styleId="BodyTextIndent3Char">
    <w:name w:val="Body Text Indent 3 Char"/>
    <w:basedOn w:val="DefaultParagraphFont"/>
    <w:link w:val="BodyTextIndent3"/>
    <w:rsid w:val="00EC07BA"/>
    <w:rPr>
      <w:rFonts w:ascii="Comic Sans MS" w:eastAsia="Times New Roman" w:hAnsi="Comic Sans MS" w:cs="Times New Roman"/>
      <w:i/>
      <w:sz w:val="24"/>
      <w:szCs w:val="20"/>
      <w:lang w:val="en-US"/>
    </w:rPr>
  </w:style>
  <w:style w:type="paragraph" w:styleId="BalloonText">
    <w:name w:val="Balloon Text"/>
    <w:basedOn w:val="Normal"/>
    <w:link w:val="BalloonTextChar"/>
    <w:semiHidden/>
    <w:rsid w:val="00EC07BA"/>
    <w:rPr>
      <w:rFonts w:ascii="Tahoma" w:hAnsi="Tahoma" w:cs="Tahoma"/>
      <w:sz w:val="16"/>
      <w:szCs w:val="16"/>
    </w:rPr>
  </w:style>
  <w:style w:type="character" w:customStyle="1" w:styleId="BalloonTextChar">
    <w:name w:val="Balloon Text Char"/>
    <w:basedOn w:val="DefaultParagraphFont"/>
    <w:link w:val="BalloonText"/>
    <w:semiHidden/>
    <w:rsid w:val="00EC07BA"/>
    <w:rPr>
      <w:rFonts w:ascii="Tahoma" w:eastAsia="Times New Roman" w:hAnsi="Tahoma" w:cs="Tahoma"/>
      <w:sz w:val="16"/>
      <w:szCs w:val="16"/>
      <w:lang w:val="en-GB"/>
    </w:rPr>
  </w:style>
  <w:style w:type="table" w:styleId="TableGrid">
    <w:name w:val="Table Grid"/>
    <w:basedOn w:val="TableNormal"/>
    <w:rsid w:val="00EC07B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C07BA"/>
    <w:rPr>
      <w:b/>
      <w:bCs/>
    </w:rPr>
  </w:style>
  <w:style w:type="character" w:styleId="CommentReference">
    <w:name w:val="annotation reference"/>
    <w:semiHidden/>
    <w:rsid w:val="00EC07BA"/>
    <w:rPr>
      <w:sz w:val="16"/>
      <w:szCs w:val="16"/>
    </w:rPr>
  </w:style>
  <w:style w:type="paragraph" w:styleId="ListBullet">
    <w:name w:val="List Bullet"/>
    <w:basedOn w:val="Normal"/>
    <w:rsid w:val="00EC07BA"/>
    <w:pPr>
      <w:numPr>
        <w:numId w:val="6"/>
      </w:numPr>
    </w:pPr>
  </w:style>
  <w:style w:type="paragraph" w:customStyle="1" w:styleId="CharCharChar1CharCharCharChar">
    <w:name w:val="Char Char Char1 Char Char Char Char"/>
    <w:basedOn w:val="Normal"/>
    <w:rsid w:val="00EC07BA"/>
    <w:pPr>
      <w:overflowPunct/>
      <w:autoSpaceDE/>
      <w:autoSpaceDN/>
      <w:adjustRightInd/>
      <w:spacing w:after="160" w:line="240" w:lineRule="exact"/>
      <w:textAlignment w:val="auto"/>
    </w:pPr>
    <w:rPr>
      <w:lang w:val="en-US" w:eastAsia="zh-CN"/>
    </w:rPr>
  </w:style>
  <w:style w:type="character" w:styleId="Emphasis">
    <w:name w:val="Emphasis"/>
    <w:qFormat/>
    <w:rsid w:val="00EC07BA"/>
    <w:rPr>
      <w:i/>
      <w:iCs/>
    </w:rPr>
  </w:style>
  <w:style w:type="paragraph" w:styleId="ListParagraph">
    <w:name w:val="List Paragraph"/>
    <w:basedOn w:val="Normal"/>
    <w:uiPriority w:val="34"/>
    <w:qFormat/>
    <w:rsid w:val="00EC07BA"/>
    <w:pPr>
      <w:ind w:left="720"/>
    </w:pPr>
  </w:style>
  <w:style w:type="paragraph" w:customStyle="1" w:styleId="Default">
    <w:name w:val="Default"/>
    <w:rsid w:val="00F36D2C"/>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06FA3"/>
    <w:rPr>
      <w:color w:val="808080"/>
    </w:rPr>
  </w:style>
  <w:style w:type="paragraph" w:styleId="CommentText">
    <w:name w:val="annotation text"/>
    <w:basedOn w:val="Normal"/>
    <w:link w:val="CommentTextChar"/>
    <w:uiPriority w:val="99"/>
    <w:semiHidden/>
    <w:unhideWhenUsed/>
    <w:rsid w:val="00C616D9"/>
  </w:style>
  <w:style w:type="character" w:customStyle="1" w:styleId="CommentTextChar">
    <w:name w:val="Comment Text Char"/>
    <w:basedOn w:val="DefaultParagraphFont"/>
    <w:link w:val="CommentText"/>
    <w:uiPriority w:val="99"/>
    <w:semiHidden/>
    <w:rsid w:val="00C616D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16D9"/>
    <w:rPr>
      <w:b/>
      <w:bCs/>
    </w:rPr>
  </w:style>
  <w:style w:type="character" w:customStyle="1" w:styleId="CommentSubjectChar">
    <w:name w:val="Comment Subject Char"/>
    <w:basedOn w:val="CommentTextChar"/>
    <w:link w:val="CommentSubject"/>
    <w:uiPriority w:val="99"/>
    <w:semiHidden/>
    <w:rsid w:val="00C616D9"/>
    <w:rPr>
      <w:rFonts w:ascii="Times New Roman" w:eastAsia="Times New Roman" w:hAnsi="Times New Roman" w:cs="Times New Roman"/>
      <w:b/>
      <w:bCs/>
      <w:sz w:val="20"/>
      <w:szCs w:val="20"/>
      <w:lang w:val="en-GB"/>
    </w:rPr>
  </w:style>
  <w:style w:type="paragraph" w:styleId="Revision">
    <w:name w:val="Revision"/>
    <w:hidden/>
    <w:uiPriority w:val="99"/>
    <w:semiHidden/>
    <w:rsid w:val="00BA540A"/>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28585">
      <w:bodyDiv w:val="1"/>
      <w:marLeft w:val="0"/>
      <w:marRight w:val="0"/>
      <w:marTop w:val="0"/>
      <w:marBottom w:val="0"/>
      <w:divBdr>
        <w:top w:val="none" w:sz="0" w:space="0" w:color="auto"/>
        <w:left w:val="none" w:sz="0" w:space="0" w:color="auto"/>
        <w:bottom w:val="none" w:sz="0" w:space="0" w:color="auto"/>
        <w:right w:val="none" w:sz="0" w:space="0" w:color="auto"/>
      </w:divBdr>
    </w:div>
    <w:div w:id="65079660">
      <w:bodyDiv w:val="1"/>
      <w:marLeft w:val="0"/>
      <w:marRight w:val="0"/>
      <w:marTop w:val="0"/>
      <w:marBottom w:val="0"/>
      <w:divBdr>
        <w:top w:val="none" w:sz="0" w:space="0" w:color="auto"/>
        <w:left w:val="none" w:sz="0" w:space="0" w:color="auto"/>
        <w:bottom w:val="none" w:sz="0" w:space="0" w:color="auto"/>
        <w:right w:val="none" w:sz="0" w:space="0" w:color="auto"/>
      </w:divBdr>
    </w:div>
    <w:div w:id="76826348">
      <w:bodyDiv w:val="1"/>
      <w:marLeft w:val="0"/>
      <w:marRight w:val="0"/>
      <w:marTop w:val="0"/>
      <w:marBottom w:val="0"/>
      <w:divBdr>
        <w:top w:val="none" w:sz="0" w:space="0" w:color="auto"/>
        <w:left w:val="none" w:sz="0" w:space="0" w:color="auto"/>
        <w:bottom w:val="none" w:sz="0" w:space="0" w:color="auto"/>
        <w:right w:val="none" w:sz="0" w:space="0" w:color="auto"/>
      </w:divBdr>
    </w:div>
    <w:div w:id="77530879">
      <w:bodyDiv w:val="1"/>
      <w:marLeft w:val="0"/>
      <w:marRight w:val="0"/>
      <w:marTop w:val="0"/>
      <w:marBottom w:val="0"/>
      <w:divBdr>
        <w:top w:val="none" w:sz="0" w:space="0" w:color="auto"/>
        <w:left w:val="none" w:sz="0" w:space="0" w:color="auto"/>
        <w:bottom w:val="none" w:sz="0" w:space="0" w:color="auto"/>
        <w:right w:val="none" w:sz="0" w:space="0" w:color="auto"/>
      </w:divBdr>
    </w:div>
    <w:div w:id="93330929">
      <w:bodyDiv w:val="1"/>
      <w:marLeft w:val="0"/>
      <w:marRight w:val="0"/>
      <w:marTop w:val="0"/>
      <w:marBottom w:val="0"/>
      <w:divBdr>
        <w:top w:val="none" w:sz="0" w:space="0" w:color="auto"/>
        <w:left w:val="none" w:sz="0" w:space="0" w:color="auto"/>
        <w:bottom w:val="none" w:sz="0" w:space="0" w:color="auto"/>
        <w:right w:val="none" w:sz="0" w:space="0" w:color="auto"/>
      </w:divBdr>
    </w:div>
    <w:div w:id="133302535">
      <w:bodyDiv w:val="1"/>
      <w:marLeft w:val="0"/>
      <w:marRight w:val="0"/>
      <w:marTop w:val="0"/>
      <w:marBottom w:val="0"/>
      <w:divBdr>
        <w:top w:val="none" w:sz="0" w:space="0" w:color="auto"/>
        <w:left w:val="none" w:sz="0" w:space="0" w:color="auto"/>
        <w:bottom w:val="none" w:sz="0" w:space="0" w:color="auto"/>
        <w:right w:val="none" w:sz="0" w:space="0" w:color="auto"/>
      </w:divBdr>
    </w:div>
    <w:div w:id="141585235">
      <w:bodyDiv w:val="1"/>
      <w:marLeft w:val="0"/>
      <w:marRight w:val="0"/>
      <w:marTop w:val="0"/>
      <w:marBottom w:val="0"/>
      <w:divBdr>
        <w:top w:val="none" w:sz="0" w:space="0" w:color="auto"/>
        <w:left w:val="none" w:sz="0" w:space="0" w:color="auto"/>
        <w:bottom w:val="none" w:sz="0" w:space="0" w:color="auto"/>
        <w:right w:val="none" w:sz="0" w:space="0" w:color="auto"/>
      </w:divBdr>
    </w:div>
    <w:div w:id="163085042">
      <w:bodyDiv w:val="1"/>
      <w:marLeft w:val="0"/>
      <w:marRight w:val="0"/>
      <w:marTop w:val="0"/>
      <w:marBottom w:val="0"/>
      <w:divBdr>
        <w:top w:val="none" w:sz="0" w:space="0" w:color="auto"/>
        <w:left w:val="none" w:sz="0" w:space="0" w:color="auto"/>
        <w:bottom w:val="none" w:sz="0" w:space="0" w:color="auto"/>
        <w:right w:val="none" w:sz="0" w:space="0" w:color="auto"/>
      </w:divBdr>
    </w:div>
    <w:div w:id="220141298">
      <w:bodyDiv w:val="1"/>
      <w:marLeft w:val="0"/>
      <w:marRight w:val="0"/>
      <w:marTop w:val="0"/>
      <w:marBottom w:val="0"/>
      <w:divBdr>
        <w:top w:val="none" w:sz="0" w:space="0" w:color="auto"/>
        <w:left w:val="none" w:sz="0" w:space="0" w:color="auto"/>
        <w:bottom w:val="none" w:sz="0" w:space="0" w:color="auto"/>
        <w:right w:val="none" w:sz="0" w:space="0" w:color="auto"/>
      </w:divBdr>
    </w:div>
    <w:div w:id="227765695">
      <w:bodyDiv w:val="1"/>
      <w:marLeft w:val="0"/>
      <w:marRight w:val="0"/>
      <w:marTop w:val="0"/>
      <w:marBottom w:val="0"/>
      <w:divBdr>
        <w:top w:val="none" w:sz="0" w:space="0" w:color="auto"/>
        <w:left w:val="none" w:sz="0" w:space="0" w:color="auto"/>
        <w:bottom w:val="none" w:sz="0" w:space="0" w:color="auto"/>
        <w:right w:val="none" w:sz="0" w:space="0" w:color="auto"/>
      </w:divBdr>
    </w:div>
    <w:div w:id="295185188">
      <w:bodyDiv w:val="1"/>
      <w:marLeft w:val="0"/>
      <w:marRight w:val="0"/>
      <w:marTop w:val="0"/>
      <w:marBottom w:val="0"/>
      <w:divBdr>
        <w:top w:val="none" w:sz="0" w:space="0" w:color="auto"/>
        <w:left w:val="none" w:sz="0" w:space="0" w:color="auto"/>
        <w:bottom w:val="none" w:sz="0" w:space="0" w:color="auto"/>
        <w:right w:val="none" w:sz="0" w:space="0" w:color="auto"/>
      </w:divBdr>
    </w:div>
    <w:div w:id="334379774">
      <w:bodyDiv w:val="1"/>
      <w:marLeft w:val="0"/>
      <w:marRight w:val="0"/>
      <w:marTop w:val="0"/>
      <w:marBottom w:val="0"/>
      <w:divBdr>
        <w:top w:val="none" w:sz="0" w:space="0" w:color="auto"/>
        <w:left w:val="none" w:sz="0" w:space="0" w:color="auto"/>
        <w:bottom w:val="none" w:sz="0" w:space="0" w:color="auto"/>
        <w:right w:val="none" w:sz="0" w:space="0" w:color="auto"/>
      </w:divBdr>
    </w:div>
    <w:div w:id="347758788">
      <w:bodyDiv w:val="1"/>
      <w:marLeft w:val="0"/>
      <w:marRight w:val="0"/>
      <w:marTop w:val="0"/>
      <w:marBottom w:val="0"/>
      <w:divBdr>
        <w:top w:val="none" w:sz="0" w:space="0" w:color="auto"/>
        <w:left w:val="none" w:sz="0" w:space="0" w:color="auto"/>
        <w:bottom w:val="none" w:sz="0" w:space="0" w:color="auto"/>
        <w:right w:val="none" w:sz="0" w:space="0" w:color="auto"/>
      </w:divBdr>
    </w:div>
    <w:div w:id="364184448">
      <w:bodyDiv w:val="1"/>
      <w:marLeft w:val="0"/>
      <w:marRight w:val="0"/>
      <w:marTop w:val="0"/>
      <w:marBottom w:val="0"/>
      <w:divBdr>
        <w:top w:val="none" w:sz="0" w:space="0" w:color="auto"/>
        <w:left w:val="none" w:sz="0" w:space="0" w:color="auto"/>
        <w:bottom w:val="none" w:sz="0" w:space="0" w:color="auto"/>
        <w:right w:val="none" w:sz="0" w:space="0" w:color="auto"/>
      </w:divBdr>
    </w:div>
    <w:div w:id="370617926">
      <w:bodyDiv w:val="1"/>
      <w:marLeft w:val="0"/>
      <w:marRight w:val="0"/>
      <w:marTop w:val="0"/>
      <w:marBottom w:val="0"/>
      <w:divBdr>
        <w:top w:val="none" w:sz="0" w:space="0" w:color="auto"/>
        <w:left w:val="none" w:sz="0" w:space="0" w:color="auto"/>
        <w:bottom w:val="none" w:sz="0" w:space="0" w:color="auto"/>
        <w:right w:val="none" w:sz="0" w:space="0" w:color="auto"/>
      </w:divBdr>
    </w:div>
    <w:div w:id="378357417">
      <w:bodyDiv w:val="1"/>
      <w:marLeft w:val="0"/>
      <w:marRight w:val="0"/>
      <w:marTop w:val="0"/>
      <w:marBottom w:val="0"/>
      <w:divBdr>
        <w:top w:val="none" w:sz="0" w:space="0" w:color="auto"/>
        <w:left w:val="none" w:sz="0" w:space="0" w:color="auto"/>
        <w:bottom w:val="none" w:sz="0" w:space="0" w:color="auto"/>
        <w:right w:val="none" w:sz="0" w:space="0" w:color="auto"/>
      </w:divBdr>
    </w:div>
    <w:div w:id="386105078">
      <w:bodyDiv w:val="1"/>
      <w:marLeft w:val="0"/>
      <w:marRight w:val="0"/>
      <w:marTop w:val="0"/>
      <w:marBottom w:val="0"/>
      <w:divBdr>
        <w:top w:val="none" w:sz="0" w:space="0" w:color="auto"/>
        <w:left w:val="none" w:sz="0" w:space="0" w:color="auto"/>
        <w:bottom w:val="none" w:sz="0" w:space="0" w:color="auto"/>
        <w:right w:val="none" w:sz="0" w:space="0" w:color="auto"/>
      </w:divBdr>
    </w:div>
    <w:div w:id="392120881">
      <w:bodyDiv w:val="1"/>
      <w:marLeft w:val="0"/>
      <w:marRight w:val="0"/>
      <w:marTop w:val="0"/>
      <w:marBottom w:val="0"/>
      <w:divBdr>
        <w:top w:val="none" w:sz="0" w:space="0" w:color="auto"/>
        <w:left w:val="none" w:sz="0" w:space="0" w:color="auto"/>
        <w:bottom w:val="none" w:sz="0" w:space="0" w:color="auto"/>
        <w:right w:val="none" w:sz="0" w:space="0" w:color="auto"/>
      </w:divBdr>
    </w:div>
    <w:div w:id="427703894">
      <w:bodyDiv w:val="1"/>
      <w:marLeft w:val="0"/>
      <w:marRight w:val="0"/>
      <w:marTop w:val="0"/>
      <w:marBottom w:val="0"/>
      <w:divBdr>
        <w:top w:val="none" w:sz="0" w:space="0" w:color="auto"/>
        <w:left w:val="none" w:sz="0" w:space="0" w:color="auto"/>
        <w:bottom w:val="none" w:sz="0" w:space="0" w:color="auto"/>
        <w:right w:val="none" w:sz="0" w:space="0" w:color="auto"/>
      </w:divBdr>
    </w:div>
    <w:div w:id="429664597">
      <w:bodyDiv w:val="1"/>
      <w:marLeft w:val="0"/>
      <w:marRight w:val="0"/>
      <w:marTop w:val="0"/>
      <w:marBottom w:val="0"/>
      <w:divBdr>
        <w:top w:val="none" w:sz="0" w:space="0" w:color="auto"/>
        <w:left w:val="none" w:sz="0" w:space="0" w:color="auto"/>
        <w:bottom w:val="none" w:sz="0" w:space="0" w:color="auto"/>
        <w:right w:val="none" w:sz="0" w:space="0" w:color="auto"/>
      </w:divBdr>
    </w:div>
    <w:div w:id="437527011">
      <w:bodyDiv w:val="1"/>
      <w:marLeft w:val="0"/>
      <w:marRight w:val="0"/>
      <w:marTop w:val="0"/>
      <w:marBottom w:val="0"/>
      <w:divBdr>
        <w:top w:val="none" w:sz="0" w:space="0" w:color="auto"/>
        <w:left w:val="none" w:sz="0" w:space="0" w:color="auto"/>
        <w:bottom w:val="none" w:sz="0" w:space="0" w:color="auto"/>
        <w:right w:val="none" w:sz="0" w:space="0" w:color="auto"/>
      </w:divBdr>
    </w:div>
    <w:div w:id="439571967">
      <w:bodyDiv w:val="1"/>
      <w:marLeft w:val="0"/>
      <w:marRight w:val="0"/>
      <w:marTop w:val="0"/>
      <w:marBottom w:val="0"/>
      <w:divBdr>
        <w:top w:val="none" w:sz="0" w:space="0" w:color="auto"/>
        <w:left w:val="none" w:sz="0" w:space="0" w:color="auto"/>
        <w:bottom w:val="none" w:sz="0" w:space="0" w:color="auto"/>
        <w:right w:val="none" w:sz="0" w:space="0" w:color="auto"/>
      </w:divBdr>
    </w:div>
    <w:div w:id="439646723">
      <w:bodyDiv w:val="1"/>
      <w:marLeft w:val="0"/>
      <w:marRight w:val="0"/>
      <w:marTop w:val="0"/>
      <w:marBottom w:val="0"/>
      <w:divBdr>
        <w:top w:val="none" w:sz="0" w:space="0" w:color="auto"/>
        <w:left w:val="none" w:sz="0" w:space="0" w:color="auto"/>
        <w:bottom w:val="none" w:sz="0" w:space="0" w:color="auto"/>
        <w:right w:val="none" w:sz="0" w:space="0" w:color="auto"/>
      </w:divBdr>
    </w:div>
    <w:div w:id="458495733">
      <w:bodyDiv w:val="1"/>
      <w:marLeft w:val="0"/>
      <w:marRight w:val="0"/>
      <w:marTop w:val="0"/>
      <w:marBottom w:val="0"/>
      <w:divBdr>
        <w:top w:val="none" w:sz="0" w:space="0" w:color="auto"/>
        <w:left w:val="none" w:sz="0" w:space="0" w:color="auto"/>
        <w:bottom w:val="none" w:sz="0" w:space="0" w:color="auto"/>
        <w:right w:val="none" w:sz="0" w:space="0" w:color="auto"/>
      </w:divBdr>
    </w:div>
    <w:div w:id="458574561">
      <w:bodyDiv w:val="1"/>
      <w:marLeft w:val="0"/>
      <w:marRight w:val="0"/>
      <w:marTop w:val="0"/>
      <w:marBottom w:val="0"/>
      <w:divBdr>
        <w:top w:val="none" w:sz="0" w:space="0" w:color="auto"/>
        <w:left w:val="none" w:sz="0" w:space="0" w:color="auto"/>
        <w:bottom w:val="none" w:sz="0" w:space="0" w:color="auto"/>
        <w:right w:val="none" w:sz="0" w:space="0" w:color="auto"/>
      </w:divBdr>
    </w:div>
    <w:div w:id="462622157">
      <w:bodyDiv w:val="1"/>
      <w:marLeft w:val="0"/>
      <w:marRight w:val="0"/>
      <w:marTop w:val="0"/>
      <w:marBottom w:val="0"/>
      <w:divBdr>
        <w:top w:val="none" w:sz="0" w:space="0" w:color="auto"/>
        <w:left w:val="none" w:sz="0" w:space="0" w:color="auto"/>
        <w:bottom w:val="none" w:sz="0" w:space="0" w:color="auto"/>
        <w:right w:val="none" w:sz="0" w:space="0" w:color="auto"/>
      </w:divBdr>
    </w:div>
    <w:div w:id="476998155">
      <w:bodyDiv w:val="1"/>
      <w:marLeft w:val="0"/>
      <w:marRight w:val="0"/>
      <w:marTop w:val="0"/>
      <w:marBottom w:val="0"/>
      <w:divBdr>
        <w:top w:val="none" w:sz="0" w:space="0" w:color="auto"/>
        <w:left w:val="none" w:sz="0" w:space="0" w:color="auto"/>
        <w:bottom w:val="none" w:sz="0" w:space="0" w:color="auto"/>
        <w:right w:val="none" w:sz="0" w:space="0" w:color="auto"/>
      </w:divBdr>
    </w:div>
    <w:div w:id="546573876">
      <w:bodyDiv w:val="1"/>
      <w:marLeft w:val="0"/>
      <w:marRight w:val="0"/>
      <w:marTop w:val="0"/>
      <w:marBottom w:val="0"/>
      <w:divBdr>
        <w:top w:val="none" w:sz="0" w:space="0" w:color="auto"/>
        <w:left w:val="none" w:sz="0" w:space="0" w:color="auto"/>
        <w:bottom w:val="none" w:sz="0" w:space="0" w:color="auto"/>
        <w:right w:val="none" w:sz="0" w:space="0" w:color="auto"/>
      </w:divBdr>
    </w:div>
    <w:div w:id="547882207">
      <w:bodyDiv w:val="1"/>
      <w:marLeft w:val="0"/>
      <w:marRight w:val="0"/>
      <w:marTop w:val="0"/>
      <w:marBottom w:val="0"/>
      <w:divBdr>
        <w:top w:val="none" w:sz="0" w:space="0" w:color="auto"/>
        <w:left w:val="none" w:sz="0" w:space="0" w:color="auto"/>
        <w:bottom w:val="none" w:sz="0" w:space="0" w:color="auto"/>
        <w:right w:val="none" w:sz="0" w:space="0" w:color="auto"/>
      </w:divBdr>
    </w:div>
    <w:div w:id="613906966">
      <w:bodyDiv w:val="1"/>
      <w:marLeft w:val="0"/>
      <w:marRight w:val="0"/>
      <w:marTop w:val="0"/>
      <w:marBottom w:val="0"/>
      <w:divBdr>
        <w:top w:val="none" w:sz="0" w:space="0" w:color="auto"/>
        <w:left w:val="none" w:sz="0" w:space="0" w:color="auto"/>
        <w:bottom w:val="none" w:sz="0" w:space="0" w:color="auto"/>
        <w:right w:val="none" w:sz="0" w:space="0" w:color="auto"/>
      </w:divBdr>
    </w:div>
    <w:div w:id="656805373">
      <w:bodyDiv w:val="1"/>
      <w:marLeft w:val="0"/>
      <w:marRight w:val="0"/>
      <w:marTop w:val="0"/>
      <w:marBottom w:val="0"/>
      <w:divBdr>
        <w:top w:val="none" w:sz="0" w:space="0" w:color="auto"/>
        <w:left w:val="none" w:sz="0" w:space="0" w:color="auto"/>
        <w:bottom w:val="none" w:sz="0" w:space="0" w:color="auto"/>
        <w:right w:val="none" w:sz="0" w:space="0" w:color="auto"/>
      </w:divBdr>
    </w:div>
    <w:div w:id="691031653">
      <w:bodyDiv w:val="1"/>
      <w:marLeft w:val="0"/>
      <w:marRight w:val="0"/>
      <w:marTop w:val="0"/>
      <w:marBottom w:val="0"/>
      <w:divBdr>
        <w:top w:val="none" w:sz="0" w:space="0" w:color="auto"/>
        <w:left w:val="none" w:sz="0" w:space="0" w:color="auto"/>
        <w:bottom w:val="none" w:sz="0" w:space="0" w:color="auto"/>
        <w:right w:val="none" w:sz="0" w:space="0" w:color="auto"/>
      </w:divBdr>
    </w:div>
    <w:div w:id="711266917">
      <w:bodyDiv w:val="1"/>
      <w:marLeft w:val="0"/>
      <w:marRight w:val="0"/>
      <w:marTop w:val="0"/>
      <w:marBottom w:val="0"/>
      <w:divBdr>
        <w:top w:val="none" w:sz="0" w:space="0" w:color="auto"/>
        <w:left w:val="none" w:sz="0" w:space="0" w:color="auto"/>
        <w:bottom w:val="none" w:sz="0" w:space="0" w:color="auto"/>
        <w:right w:val="none" w:sz="0" w:space="0" w:color="auto"/>
      </w:divBdr>
    </w:div>
    <w:div w:id="735593413">
      <w:bodyDiv w:val="1"/>
      <w:marLeft w:val="0"/>
      <w:marRight w:val="0"/>
      <w:marTop w:val="0"/>
      <w:marBottom w:val="0"/>
      <w:divBdr>
        <w:top w:val="none" w:sz="0" w:space="0" w:color="auto"/>
        <w:left w:val="none" w:sz="0" w:space="0" w:color="auto"/>
        <w:bottom w:val="none" w:sz="0" w:space="0" w:color="auto"/>
        <w:right w:val="none" w:sz="0" w:space="0" w:color="auto"/>
      </w:divBdr>
    </w:div>
    <w:div w:id="736703974">
      <w:bodyDiv w:val="1"/>
      <w:marLeft w:val="0"/>
      <w:marRight w:val="0"/>
      <w:marTop w:val="0"/>
      <w:marBottom w:val="0"/>
      <w:divBdr>
        <w:top w:val="none" w:sz="0" w:space="0" w:color="auto"/>
        <w:left w:val="none" w:sz="0" w:space="0" w:color="auto"/>
        <w:bottom w:val="none" w:sz="0" w:space="0" w:color="auto"/>
        <w:right w:val="none" w:sz="0" w:space="0" w:color="auto"/>
      </w:divBdr>
    </w:div>
    <w:div w:id="740834710">
      <w:bodyDiv w:val="1"/>
      <w:marLeft w:val="0"/>
      <w:marRight w:val="0"/>
      <w:marTop w:val="0"/>
      <w:marBottom w:val="0"/>
      <w:divBdr>
        <w:top w:val="none" w:sz="0" w:space="0" w:color="auto"/>
        <w:left w:val="none" w:sz="0" w:space="0" w:color="auto"/>
        <w:bottom w:val="none" w:sz="0" w:space="0" w:color="auto"/>
        <w:right w:val="none" w:sz="0" w:space="0" w:color="auto"/>
      </w:divBdr>
    </w:div>
    <w:div w:id="759716169">
      <w:bodyDiv w:val="1"/>
      <w:marLeft w:val="0"/>
      <w:marRight w:val="0"/>
      <w:marTop w:val="0"/>
      <w:marBottom w:val="0"/>
      <w:divBdr>
        <w:top w:val="none" w:sz="0" w:space="0" w:color="auto"/>
        <w:left w:val="none" w:sz="0" w:space="0" w:color="auto"/>
        <w:bottom w:val="none" w:sz="0" w:space="0" w:color="auto"/>
        <w:right w:val="none" w:sz="0" w:space="0" w:color="auto"/>
      </w:divBdr>
    </w:div>
    <w:div w:id="768309309">
      <w:bodyDiv w:val="1"/>
      <w:marLeft w:val="0"/>
      <w:marRight w:val="0"/>
      <w:marTop w:val="0"/>
      <w:marBottom w:val="0"/>
      <w:divBdr>
        <w:top w:val="none" w:sz="0" w:space="0" w:color="auto"/>
        <w:left w:val="none" w:sz="0" w:space="0" w:color="auto"/>
        <w:bottom w:val="none" w:sz="0" w:space="0" w:color="auto"/>
        <w:right w:val="none" w:sz="0" w:space="0" w:color="auto"/>
      </w:divBdr>
    </w:div>
    <w:div w:id="780730927">
      <w:bodyDiv w:val="1"/>
      <w:marLeft w:val="0"/>
      <w:marRight w:val="0"/>
      <w:marTop w:val="0"/>
      <w:marBottom w:val="0"/>
      <w:divBdr>
        <w:top w:val="none" w:sz="0" w:space="0" w:color="auto"/>
        <w:left w:val="none" w:sz="0" w:space="0" w:color="auto"/>
        <w:bottom w:val="none" w:sz="0" w:space="0" w:color="auto"/>
        <w:right w:val="none" w:sz="0" w:space="0" w:color="auto"/>
      </w:divBdr>
    </w:div>
    <w:div w:id="838696656">
      <w:bodyDiv w:val="1"/>
      <w:marLeft w:val="0"/>
      <w:marRight w:val="0"/>
      <w:marTop w:val="0"/>
      <w:marBottom w:val="0"/>
      <w:divBdr>
        <w:top w:val="none" w:sz="0" w:space="0" w:color="auto"/>
        <w:left w:val="none" w:sz="0" w:space="0" w:color="auto"/>
        <w:bottom w:val="none" w:sz="0" w:space="0" w:color="auto"/>
        <w:right w:val="none" w:sz="0" w:space="0" w:color="auto"/>
      </w:divBdr>
    </w:div>
    <w:div w:id="849222033">
      <w:bodyDiv w:val="1"/>
      <w:marLeft w:val="0"/>
      <w:marRight w:val="0"/>
      <w:marTop w:val="0"/>
      <w:marBottom w:val="0"/>
      <w:divBdr>
        <w:top w:val="none" w:sz="0" w:space="0" w:color="auto"/>
        <w:left w:val="none" w:sz="0" w:space="0" w:color="auto"/>
        <w:bottom w:val="none" w:sz="0" w:space="0" w:color="auto"/>
        <w:right w:val="none" w:sz="0" w:space="0" w:color="auto"/>
      </w:divBdr>
    </w:div>
    <w:div w:id="862479271">
      <w:bodyDiv w:val="1"/>
      <w:marLeft w:val="0"/>
      <w:marRight w:val="0"/>
      <w:marTop w:val="0"/>
      <w:marBottom w:val="0"/>
      <w:divBdr>
        <w:top w:val="none" w:sz="0" w:space="0" w:color="auto"/>
        <w:left w:val="none" w:sz="0" w:space="0" w:color="auto"/>
        <w:bottom w:val="none" w:sz="0" w:space="0" w:color="auto"/>
        <w:right w:val="none" w:sz="0" w:space="0" w:color="auto"/>
      </w:divBdr>
    </w:div>
    <w:div w:id="869421006">
      <w:bodyDiv w:val="1"/>
      <w:marLeft w:val="0"/>
      <w:marRight w:val="0"/>
      <w:marTop w:val="0"/>
      <w:marBottom w:val="0"/>
      <w:divBdr>
        <w:top w:val="none" w:sz="0" w:space="0" w:color="auto"/>
        <w:left w:val="none" w:sz="0" w:space="0" w:color="auto"/>
        <w:bottom w:val="none" w:sz="0" w:space="0" w:color="auto"/>
        <w:right w:val="none" w:sz="0" w:space="0" w:color="auto"/>
      </w:divBdr>
    </w:div>
    <w:div w:id="921179027">
      <w:bodyDiv w:val="1"/>
      <w:marLeft w:val="0"/>
      <w:marRight w:val="0"/>
      <w:marTop w:val="0"/>
      <w:marBottom w:val="0"/>
      <w:divBdr>
        <w:top w:val="none" w:sz="0" w:space="0" w:color="auto"/>
        <w:left w:val="none" w:sz="0" w:space="0" w:color="auto"/>
        <w:bottom w:val="none" w:sz="0" w:space="0" w:color="auto"/>
        <w:right w:val="none" w:sz="0" w:space="0" w:color="auto"/>
      </w:divBdr>
    </w:div>
    <w:div w:id="939217310">
      <w:bodyDiv w:val="1"/>
      <w:marLeft w:val="0"/>
      <w:marRight w:val="0"/>
      <w:marTop w:val="0"/>
      <w:marBottom w:val="0"/>
      <w:divBdr>
        <w:top w:val="none" w:sz="0" w:space="0" w:color="auto"/>
        <w:left w:val="none" w:sz="0" w:space="0" w:color="auto"/>
        <w:bottom w:val="none" w:sz="0" w:space="0" w:color="auto"/>
        <w:right w:val="none" w:sz="0" w:space="0" w:color="auto"/>
      </w:divBdr>
    </w:div>
    <w:div w:id="943926321">
      <w:bodyDiv w:val="1"/>
      <w:marLeft w:val="0"/>
      <w:marRight w:val="0"/>
      <w:marTop w:val="0"/>
      <w:marBottom w:val="0"/>
      <w:divBdr>
        <w:top w:val="none" w:sz="0" w:space="0" w:color="auto"/>
        <w:left w:val="none" w:sz="0" w:space="0" w:color="auto"/>
        <w:bottom w:val="none" w:sz="0" w:space="0" w:color="auto"/>
        <w:right w:val="none" w:sz="0" w:space="0" w:color="auto"/>
      </w:divBdr>
    </w:div>
    <w:div w:id="951211072">
      <w:bodyDiv w:val="1"/>
      <w:marLeft w:val="0"/>
      <w:marRight w:val="0"/>
      <w:marTop w:val="0"/>
      <w:marBottom w:val="0"/>
      <w:divBdr>
        <w:top w:val="none" w:sz="0" w:space="0" w:color="auto"/>
        <w:left w:val="none" w:sz="0" w:space="0" w:color="auto"/>
        <w:bottom w:val="none" w:sz="0" w:space="0" w:color="auto"/>
        <w:right w:val="none" w:sz="0" w:space="0" w:color="auto"/>
      </w:divBdr>
    </w:div>
    <w:div w:id="958410902">
      <w:bodyDiv w:val="1"/>
      <w:marLeft w:val="0"/>
      <w:marRight w:val="0"/>
      <w:marTop w:val="0"/>
      <w:marBottom w:val="0"/>
      <w:divBdr>
        <w:top w:val="none" w:sz="0" w:space="0" w:color="auto"/>
        <w:left w:val="none" w:sz="0" w:space="0" w:color="auto"/>
        <w:bottom w:val="none" w:sz="0" w:space="0" w:color="auto"/>
        <w:right w:val="none" w:sz="0" w:space="0" w:color="auto"/>
      </w:divBdr>
    </w:div>
    <w:div w:id="963462306">
      <w:bodyDiv w:val="1"/>
      <w:marLeft w:val="0"/>
      <w:marRight w:val="0"/>
      <w:marTop w:val="0"/>
      <w:marBottom w:val="0"/>
      <w:divBdr>
        <w:top w:val="none" w:sz="0" w:space="0" w:color="auto"/>
        <w:left w:val="none" w:sz="0" w:space="0" w:color="auto"/>
        <w:bottom w:val="none" w:sz="0" w:space="0" w:color="auto"/>
        <w:right w:val="none" w:sz="0" w:space="0" w:color="auto"/>
      </w:divBdr>
    </w:div>
    <w:div w:id="1027414217">
      <w:bodyDiv w:val="1"/>
      <w:marLeft w:val="0"/>
      <w:marRight w:val="0"/>
      <w:marTop w:val="0"/>
      <w:marBottom w:val="0"/>
      <w:divBdr>
        <w:top w:val="none" w:sz="0" w:space="0" w:color="auto"/>
        <w:left w:val="none" w:sz="0" w:space="0" w:color="auto"/>
        <w:bottom w:val="none" w:sz="0" w:space="0" w:color="auto"/>
        <w:right w:val="none" w:sz="0" w:space="0" w:color="auto"/>
      </w:divBdr>
    </w:div>
    <w:div w:id="1047997629">
      <w:bodyDiv w:val="1"/>
      <w:marLeft w:val="0"/>
      <w:marRight w:val="0"/>
      <w:marTop w:val="0"/>
      <w:marBottom w:val="0"/>
      <w:divBdr>
        <w:top w:val="none" w:sz="0" w:space="0" w:color="auto"/>
        <w:left w:val="none" w:sz="0" w:space="0" w:color="auto"/>
        <w:bottom w:val="none" w:sz="0" w:space="0" w:color="auto"/>
        <w:right w:val="none" w:sz="0" w:space="0" w:color="auto"/>
      </w:divBdr>
    </w:div>
    <w:div w:id="1085346882">
      <w:bodyDiv w:val="1"/>
      <w:marLeft w:val="0"/>
      <w:marRight w:val="0"/>
      <w:marTop w:val="0"/>
      <w:marBottom w:val="0"/>
      <w:divBdr>
        <w:top w:val="none" w:sz="0" w:space="0" w:color="auto"/>
        <w:left w:val="none" w:sz="0" w:space="0" w:color="auto"/>
        <w:bottom w:val="none" w:sz="0" w:space="0" w:color="auto"/>
        <w:right w:val="none" w:sz="0" w:space="0" w:color="auto"/>
      </w:divBdr>
    </w:div>
    <w:div w:id="1103111364">
      <w:bodyDiv w:val="1"/>
      <w:marLeft w:val="0"/>
      <w:marRight w:val="0"/>
      <w:marTop w:val="0"/>
      <w:marBottom w:val="0"/>
      <w:divBdr>
        <w:top w:val="none" w:sz="0" w:space="0" w:color="auto"/>
        <w:left w:val="none" w:sz="0" w:space="0" w:color="auto"/>
        <w:bottom w:val="none" w:sz="0" w:space="0" w:color="auto"/>
        <w:right w:val="none" w:sz="0" w:space="0" w:color="auto"/>
      </w:divBdr>
    </w:div>
    <w:div w:id="1129475265">
      <w:bodyDiv w:val="1"/>
      <w:marLeft w:val="0"/>
      <w:marRight w:val="0"/>
      <w:marTop w:val="0"/>
      <w:marBottom w:val="0"/>
      <w:divBdr>
        <w:top w:val="none" w:sz="0" w:space="0" w:color="auto"/>
        <w:left w:val="none" w:sz="0" w:space="0" w:color="auto"/>
        <w:bottom w:val="none" w:sz="0" w:space="0" w:color="auto"/>
        <w:right w:val="none" w:sz="0" w:space="0" w:color="auto"/>
      </w:divBdr>
    </w:div>
    <w:div w:id="1139881413">
      <w:bodyDiv w:val="1"/>
      <w:marLeft w:val="0"/>
      <w:marRight w:val="0"/>
      <w:marTop w:val="0"/>
      <w:marBottom w:val="0"/>
      <w:divBdr>
        <w:top w:val="none" w:sz="0" w:space="0" w:color="auto"/>
        <w:left w:val="none" w:sz="0" w:space="0" w:color="auto"/>
        <w:bottom w:val="none" w:sz="0" w:space="0" w:color="auto"/>
        <w:right w:val="none" w:sz="0" w:space="0" w:color="auto"/>
      </w:divBdr>
    </w:div>
    <w:div w:id="1171793495">
      <w:bodyDiv w:val="1"/>
      <w:marLeft w:val="0"/>
      <w:marRight w:val="0"/>
      <w:marTop w:val="0"/>
      <w:marBottom w:val="0"/>
      <w:divBdr>
        <w:top w:val="none" w:sz="0" w:space="0" w:color="auto"/>
        <w:left w:val="none" w:sz="0" w:space="0" w:color="auto"/>
        <w:bottom w:val="none" w:sz="0" w:space="0" w:color="auto"/>
        <w:right w:val="none" w:sz="0" w:space="0" w:color="auto"/>
      </w:divBdr>
    </w:div>
    <w:div w:id="1202746945">
      <w:bodyDiv w:val="1"/>
      <w:marLeft w:val="0"/>
      <w:marRight w:val="0"/>
      <w:marTop w:val="0"/>
      <w:marBottom w:val="0"/>
      <w:divBdr>
        <w:top w:val="none" w:sz="0" w:space="0" w:color="auto"/>
        <w:left w:val="none" w:sz="0" w:space="0" w:color="auto"/>
        <w:bottom w:val="none" w:sz="0" w:space="0" w:color="auto"/>
        <w:right w:val="none" w:sz="0" w:space="0" w:color="auto"/>
      </w:divBdr>
    </w:div>
    <w:div w:id="1212496930">
      <w:bodyDiv w:val="1"/>
      <w:marLeft w:val="0"/>
      <w:marRight w:val="0"/>
      <w:marTop w:val="0"/>
      <w:marBottom w:val="0"/>
      <w:divBdr>
        <w:top w:val="none" w:sz="0" w:space="0" w:color="auto"/>
        <w:left w:val="none" w:sz="0" w:space="0" w:color="auto"/>
        <w:bottom w:val="none" w:sz="0" w:space="0" w:color="auto"/>
        <w:right w:val="none" w:sz="0" w:space="0" w:color="auto"/>
      </w:divBdr>
    </w:div>
    <w:div w:id="1228107119">
      <w:bodyDiv w:val="1"/>
      <w:marLeft w:val="0"/>
      <w:marRight w:val="0"/>
      <w:marTop w:val="0"/>
      <w:marBottom w:val="0"/>
      <w:divBdr>
        <w:top w:val="none" w:sz="0" w:space="0" w:color="auto"/>
        <w:left w:val="none" w:sz="0" w:space="0" w:color="auto"/>
        <w:bottom w:val="none" w:sz="0" w:space="0" w:color="auto"/>
        <w:right w:val="none" w:sz="0" w:space="0" w:color="auto"/>
      </w:divBdr>
    </w:div>
    <w:div w:id="1229420939">
      <w:bodyDiv w:val="1"/>
      <w:marLeft w:val="0"/>
      <w:marRight w:val="0"/>
      <w:marTop w:val="0"/>
      <w:marBottom w:val="0"/>
      <w:divBdr>
        <w:top w:val="none" w:sz="0" w:space="0" w:color="auto"/>
        <w:left w:val="none" w:sz="0" w:space="0" w:color="auto"/>
        <w:bottom w:val="none" w:sz="0" w:space="0" w:color="auto"/>
        <w:right w:val="none" w:sz="0" w:space="0" w:color="auto"/>
      </w:divBdr>
    </w:div>
    <w:div w:id="1273903555">
      <w:bodyDiv w:val="1"/>
      <w:marLeft w:val="0"/>
      <w:marRight w:val="0"/>
      <w:marTop w:val="0"/>
      <w:marBottom w:val="0"/>
      <w:divBdr>
        <w:top w:val="none" w:sz="0" w:space="0" w:color="auto"/>
        <w:left w:val="none" w:sz="0" w:space="0" w:color="auto"/>
        <w:bottom w:val="none" w:sz="0" w:space="0" w:color="auto"/>
        <w:right w:val="none" w:sz="0" w:space="0" w:color="auto"/>
      </w:divBdr>
    </w:div>
    <w:div w:id="1322344063">
      <w:bodyDiv w:val="1"/>
      <w:marLeft w:val="0"/>
      <w:marRight w:val="0"/>
      <w:marTop w:val="0"/>
      <w:marBottom w:val="0"/>
      <w:divBdr>
        <w:top w:val="none" w:sz="0" w:space="0" w:color="auto"/>
        <w:left w:val="none" w:sz="0" w:space="0" w:color="auto"/>
        <w:bottom w:val="none" w:sz="0" w:space="0" w:color="auto"/>
        <w:right w:val="none" w:sz="0" w:space="0" w:color="auto"/>
      </w:divBdr>
    </w:div>
    <w:div w:id="1328434644">
      <w:bodyDiv w:val="1"/>
      <w:marLeft w:val="0"/>
      <w:marRight w:val="0"/>
      <w:marTop w:val="0"/>
      <w:marBottom w:val="0"/>
      <w:divBdr>
        <w:top w:val="none" w:sz="0" w:space="0" w:color="auto"/>
        <w:left w:val="none" w:sz="0" w:space="0" w:color="auto"/>
        <w:bottom w:val="none" w:sz="0" w:space="0" w:color="auto"/>
        <w:right w:val="none" w:sz="0" w:space="0" w:color="auto"/>
      </w:divBdr>
    </w:div>
    <w:div w:id="1353416654">
      <w:bodyDiv w:val="1"/>
      <w:marLeft w:val="0"/>
      <w:marRight w:val="0"/>
      <w:marTop w:val="0"/>
      <w:marBottom w:val="0"/>
      <w:divBdr>
        <w:top w:val="none" w:sz="0" w:space="0" w:color="auto"/>
        <w:left w:val="none" w:sz="0" w:space="0" w:color="auto"/>
        <w:bottom w:val="none" w:sz="0" w:space="0" w:color="auto"/>
        <w:right w:val="none" w:sz="0" w:space="0" w:color="auto"/>
      </w:divBdr>
    </w:div>
    <w:div w:id="1378356088">
      <w:bodyDiv w:val="1"/>
      <w:marLeft w:val="0"/>
      <w:marRight w:val="0"/>
      <w:marTop w:val="0"/>
      <w:marBottom w:val="0"/>
      <w:divBdr>
        <w:top w:val="none" w:sz="0" w:space="0" w:color="auto"/>
        <w:left w:val="none" w:sz="0" w:space="0" w:color="auto"/>
        <w:bottom w:val="none" w:sz="0" w:space="0" w:color="auto"/>
        <w:right w:val="none" w:sz="0" w:space="0" w:color="auto"/>
      </w:divBdr>
    </w:div>
    <w:div w:id="1461146639">
      <w:bodyDiv w:val="1"/>
      <w:marLeft w:val="0"/>
      <w:marRight w:val="0"/>
      <w:marTop w:val="0"/>
      <w:marBottom w:val="0"/>
      <w:divBdr>
        <w:top w:val="none" w:sz="0" w:space="0" w:color="auto"/>
        <w:left w:val="none" w:sz="0" w:space="0" w:color="auto"/>
        <w:bottom w:val="none" w:sz="0" w:space="0" w:color="auto"/>
        <w:right w:val="none" w:sz="0" w:space="0" w:color="auto"/>
      </w:divBdr>
    </w:div>
    <w:div w:id="1468009870">
      <w:bodyDiv w:val="1"/>
      <w:marLeft w:val="0"/>
      <w:marRight w:val="0"/>
      <w:marTop w:val="0"/>
      <w:marBottom w:val="0"/>
      <w:divBdr>
        <w:top w:val="none" w:sz="0" w:space="0" w:color="auto"/>
        <w:left w:val="none" w:sz="0" w:space="0" w:color="auto"/>
        <w:bottom w:val="none" w:sz="0" w:space="0" w:color="auto"/>
        <w:right w:val="none" w:sz="0" w:space="0" w:color="auto"/>
      </w:divBdr>
    </w:div>
    <w:div w:id="1468620797">
      <w:bodyDiv w:val="1"/>
      <w:marLeft w:val="0"/>
      <w:marRight w:val="0"/>
      <w:marTop w:val="0"/>
      <w:marBottom w:val="0"/>
      <w:divBdr>
        <w:top w:val="none" w:sz="0" w:space="0" w:color="auto"/>
        <w:left w:val="none" w:sz="0" w:space="0" w:color="auto"/>
        <w:bottom w:val="none" w:sz="0" w:space="0" w:color="auto"/>
        <w:right w:val="none" w:sz="0" w:space="0" w:color="auto"/>
      </w:divBdr>
    </w:div>
    <w:div w:id="1487042023">
      <w:bodyDiv w:val="1"/>
      <w:marLeft w:val="0"/>
      <w:marRight w:val="0"/>
      <w:marTop w:val="0"/>
      <w:marBottom w:val="0"/>
      <w:divBdr>
        <w:top w:val="none" w:sz="0" w:space="0" w:color="auto"/>
        <w:left w:val="none" w:sz="0" w:space="0" w:color="auto"/>
        <w:bottom w:val="none" w:sz="0" w:space="0" w:color="auto"/>
        <w:right w:val="none" w:sz="0" w:space="0" w:color="auto"/>
      </w:divBdr>
    </w:div>
    <w:div w:id="1523125517">
      <w:bodyDiv w:val="1"/>
      <w:marLeft w:val="0"/>
      <w:marRight w:val="0"/>
      <w:marTop w:val="0"/>
      <w:marBottom w:val="0"/>
      <w:divBdr>
        <w:top w:val="none" w:sz="0" w:space="0" w:color="auto"/>
        <w:left w:val="none" w:sz="0" w:space="0" w:color="auto"/>
        <w:bottom w:val="none" w:sz="0" w:space="0" w:color="auto"/>
        <w:right w:val="none" w:sz="0" w:space="0" w:color="auto"/>
      </w:divBdr>
    </w:div>
    <w:div w:id="1562863760">
      <w:bodyDiv w:val="1"/>
      <w:marLeft w:val="0"/>
      <w:marRight w:val="0"/>
      <w:marTop w:val="0"/>
      <w:marBottom w:val="0"/>
      <w:divBdr>
        <w:top w:val="none" w:sz="0" w:space="0" w:color="auto"/>
        <w:left w:val="none" w:sz="0" w:space="0" w:color="auto"/>
        <w:bottom w:val="none" w:sz="0" w:space="0" w:color="auto"/>
        <w:right w:val="none" w:sz="0" w:space="0" w:color="auto"/>
      </w:divBdr>
    </w:div>
    <w:div w:id="1564365038">
      <w:bodyDiv w:val="1"/>
      <w:marLeft w:val="0"/>
      <w:marRight w:val="0"/>
      <w:marTop w:val="0"/>
      <w:marBottom w:val="0"/>
      <w:divBdr>
        <w:top w:val="none" w:sz="0" w:space="0" w:color="auto"/>
        <w:left w:val="none" w:sz="0" w:space="0" w:color="auto"/>
        <w:bottom w:val="none" w:sz="0" w:space="0" w:color="auto"/>
        <w:right w:val="none" w:sz="0" w:space="0" w:color="auto"/>
      </w:divBdr>
    </w:div>
    <w:div w:id="1569996648">
      <w:bodyDiv w:val="1"/>
      <w:marLeft w:val="0"/>
      <w:marRight w:val="0"/>
      <w:marTop w:val="0"/>
      <w:marBottom w:val="0"/>
      <w:divBdr>
        <w:top w:val="none" w:sz="0" w:space="0" w:color="auto"/>
        <w:left w:val="none" w:sz="0" w:space="0" w:color="auto"/>
        <w:bottom w:val="none" w:sz="0" w:space="0" w:color="auto"/>
        <w:right w:val="none" w:sz="0" w:space="0" w:color="auto"/>
      </w:divBdr>
    </w:div>
    <w:div w:id="1582985366">
      <w:bodyDiv w:val="1"/>
      <w:marLeft w:val="0"/>
      <w:marRight w:val="0"/>
      <w:marTop w:val="0"/>
      <w:marBottom w:val="0"/>
      <w:divBdr>
        <w:top w:val="none" w:sz="0" w:space="0" w:color="auto"/>
        <w:left w:val="none" w:sz="0" w:space="0" w:color="auto"/>
        <w:bottom w:val="none" w:sz="0" w:space="0" w:color="auto"/>
        <w:right w:val="none" w:sz="0" w:space="0" w:color="auto"/>
      </w:divBdr>
    </w:div>
    <w:div w:id="1649477738">
      <w:bodyDiv w:val="1"/>
      <w:marLeft w:val="0"/>
      <w:marRight w:val="0"/>
      <w:marTop w:val="0"/>
      <w:marBottom w:val="0"/>
      <w:divBdr>
        <w:top w:val="none" w:sz="0" w:space="0" w:color="auto"/>
        <w:left w:val="none" w:sz="0" w:space="0" w:color="auto"/>
        <w:bottom w:val="none" w:sz="0" w:space="0" w:color="auto"/>
        <w:right w:val="none" w:sz="0" w:space="0" w:color="auto"/>
      </w:divBdr>
    </w:div>
    <w:div w:id="1679042935">
      <w:bodyDiv w:val="1"/>
      <w:marLeft w:val="0"/>
      <w:marRight w:val="0"/>
      <w:marTop w:val="0"/>
      <w:marBottom w:val="0"/>
      <w:divBdr>
        <w:top w:val="none" w:sz="0" w:space="0" w:color="auto"/>
        <w:left w:val="none" w:sz="0" w:space="0" w:color="auto"/>
        <w:bottom w:val="none" w:sz="0" w:space="0" w:color="auto"/>
        <w:right w:val="none" w:sz="0" w:space="0" w:color="auto"/>
      </w:divBdr>
    </w:div>
    <w:div w:id="1679887400">
      <w:bodyDiv w:val="1"/>
      <w:marLeft w:val="0"/>
      <w:marRight w:val="0"/>
      <w:marTop w:val="0"/>
      <w:marBottom w:val="0"/>
      <w:divBdr>
        <w:top w:val="none" w:sz="0" w:space="0" w:color="auto"/>
        <w:left w:val="none" w:sz="0" w:space="0" w:color="auto"/>
        <w:bottom w:val="none" w:sz="0" w:space="0" w:color="auto"/>
        <w:right w:val="none" w:sz="0" w:space="0" w:color="auto"/>
      </w:divBdr>
    </w:div>
    <w:div w:id="1681661111">
      <w:bodyDiv w:val="1"/>
      <w:marLeft w:val="0"/>
      <w:marRight w:val="0"/>
      <w:marTop w:val="0"/>
      <w:marBottom w:val="0"/>
      <w:divBdr>
        <w:top w:val="none" w:sz="0" w:space="0" w:color="auto"/>
        <w:left w:val="none" w:sz="0" w:space="0" w:color="auto"/>
        <w:bottom w:val="none" w:sz="0" w:space="0" w:color="auto"/>
        <w:right w:val="none" w:sz="0" w:space="0" w:color="auto"/>
      </w:divBdr>
    </w:div>
    <w:div w:id="1692685805">
      <w:bodyDiv w:val="1"/>
      <w:marLeft w:val="0"/>
      <w:marRight w:val="0"/>
      <w:marTop w:val="0"/>
      <w:marBottom w:val="0"/>
      <w:divBdr>
        <w:top w:val="none" w:sz="0" w:space="0" w:color="auto"/>
        <w:left w:val="none" w:sz="0" w:space="0" w:color="auto"/>
        <w:bottom w:val="none" w:sz="0" w:space="0" w:color="auto"/>
        <w:right w:val="none" w:sz="0" w:space="0" w:color="auto"/>
      </w:divBdr>
    </w:div>
    <w:div w:id="1719472872">
      <w:bodyDiv w:val="1"/>
      <w:marLeft w:val="0"/>
      <w:marRight w:val="0"/>
      <w:marTop w:val="0"/>
      <w:marBottom w:val="0"/>
      <w:divBdr>
        <w:top w:val="none" w:sz="0" w:space="0" w:color="auto"/>
        <w:left w:val="none" w:sz="0" w:space="0" w:color="auto"/>
        <w:bottom w:val="none" w:sz="0" w:space="0" w:color="auto"/>
        <w:right w:val="none" w:sz="0" w:space="0" w:color="auto"/>
      </w:divBdr>
    </w:div>
    <w:div w:id="1747990257">
      <w:bodyDiv w:val="1"/>
      <w:marLeft w:val="0"/>
      <w:marRight w:val="0"/>
      <w:marTop w:val="0"/>
      <w:marBottom w:val="0"/>
      <w:divBdr>
        <w:top w:val="none" w:sz="0" w:space="0" w:color="auto"/>
        <w:left w:val="none" w:sz="0" w:space="0" w:color="auto"/>
        <w:bottom w:val="none" w:sz="0" w:space="0" w:color="auto"/>
        <w:right w:val="none" w:sz="0" w:space="0" w:color="auto"/>
      </w:divBdr>
    </w:div>
    <w:div w:id="1753622101">
      <w:bodyDiv w:val="1"/>
      <w:marLeft w:val="0"/>
      <w:marRight w:val="0"/>
      <w:marTop w:val="0"/>
      <w:marBottom w:val="0"/>
      <w:divBdr>
        <w:top w:val="none" w:sz="0" w:space="0" w:color="auto"/>
        <w:left w:val="none" w:sz="0" w:space="0" w:color="auto"/>
        <w:bottom w:val="none" w:sz="0" w:space="0" w:color="auto"/>
        <w:right w:val="none" w:sz="0" w:space="0" w:color="auto"/>
      </w:divBdr>
    </w:div>
    <w:div w:id="1756970085">
      <w:bodyDiv w:val="1"/>
      <w:marLeft w:val="0"/>
      <w:marRight w:val="0"/>
      <w:marTop w:val="0"/>
      <w:marBottom w:val="0"/>
      <w:divBdr>
        <w:top w:val="none" w:sz="0" w:space="0" w:color="auto"/>
        <w:left w:val="none" w:sz="0" w:space="0" w:color="auto"/>
        <w:bottom w:val="none" w:sz="0" w:space="0" w:color="auto"/>
        <w:right w:val="none" w:sz="0" w:space="0" w:color="auto"/>
      </w:divBdr>
    </w:div>
    <w:div w:id="1761676113">
      <w:bodyDiv w:val="1"/>
      <w:marLeft w:val="0"/>
      <w:marRight w:val="0"/>
      <w:marTop w:val="0"/>
      <w:marBottom w:val="0"/>
      <w:divBdr>
        <w:top w:val="none" w:sz="0" w:space="0" w:color="auto"/>
        <w:left w:val="none" w:sz="0" w:space="0" w:color="auto"/>
        <w:bottom w:val="none" w:sz="0" w:space="0" w:color="auto"/>
        <w:right w:val="none" w:sz="0" w:space="0" w:color="auto"/>
      </w:divBdr>
    </w:div>
    <w:div w:id="1770079240">
      <w:bodyDiv w:val="1"/>
      <w:marLeft w:val="0"/>
      <w:marRight w:val="0"/>
      <w:marTop w:val="0"/>
      <w:marBottom w:val="0"/>
      <w:divBdr>
        <w:top w:val="none" w:sz="0" w:space="0" w:color="auto"/>
        <w:left w:val="none" w:sz="0" w:space="0" w:color="auto"/>
        <w:bottom w:val="none" w:sz="0" w:space="0" w:color="auto"/>
        <w:right w:val="none" w:sz="0" w:space="0" w:color="auto"/>
      </w:divBdr>
    </w:div>
    <w:div w:id="1810977350">
      <w:bodyDiv w:val="1"/>
      <w:marLeft w:val="0"/>
      <w:marRight w:val="0"/>
      <w:marTop w:val="0"/>
      <w:marBottom w:val="0"/>
      <w:divBdr>
        <w:top w:val="none" w:sz="0" w:space="0" w:color="auto"/>
        <w:left w:val="none" w:sz="0" w:space="0" w:color="auto"/>
        <w:bottom w:val="none" w:sz="0" w:space="0" w:color="auto"/>
        <w:right w:val="none" w:sz="0" w:space="0" w:color="auto"/>
      </w:divBdr>
    </w:div>
    <w:div w:id="1811509507">
      <w:bodyDiv w:val="1"/>
      <w:marLeft w:val="0"/>
      <w:marRight w:val="0"/>
      <w:marTop w:val="0"/>
      <w:marBottom w:val="0"/>
      <w:divBdr>
        <w:top w:val="none" w:sz="0" w:space="0" w:color="auto"/>
        <w:left w:val="none" w:sz="0" w:space="0" w:color="auto"/>
        <w:bottom w:val="none" w:sz="0" w:space="0" w:color="auto"/>
        <w:right w:val="none" w:sz="0" w:space="0" w:color="auto"/>
      </w:divBdr>
    </w:div>
    <w:div w:id="1812559424">
      <w:bodyDiv w:val="1"/>
      <w:marLeft w:val="0"/>
      <w:marRight w:val="0"/>
      <w:marTop w:val="0"/>
      <w:marBottom w:val="0"/>
      <w:divBdr>
        <w:top w:val="none" w:sz="0" w:space="0" w:color="auto"/>
        <w:left w:val="none" w:sz="0" w:space="0" w:color="auto"/>
        <w:bottom w:val="none" w:sz="0" w:space="0" w:color="auto"/>
        <w:right w:val="none" w:sz="0" w:space="0" w:color="auto"/>
      </w:divBdr>
    </w:div>
    <w:div w:id="1827472856">
      <w:bodyDiv w:val="1"/>
      <w:marLeft w:val="0"/>
      <w:marRight w:val="0"/>
      <w:marTop w:val="0"/>
      <w:marBottom w:val="0"/>
      <w:divBdr>
        <w:top w:val="none" w:sz="0" w:space="0" w:color="auto"/>
        <w:left w:val="none" w:sz="0" w:space="0" w:color="auto"/>
        <w:bottom w:val="none" w:sz="0" w:space="0" w:color="auto"/>
        <w:right w:val="none" w:sz="0" w:space="0" w:color="auto"/>
      </w:divBdr>
    </w:div>
    <w:div w:id="1896815241">
      <w:bodyDiv w:val="1"/>
      <w:marLeft w:val="0"/>
      <w:marRight w:val="0"/>
      <w:marTop w:val="0"/>
      <w:marBottom w:val="0"/>
      <w:divBdr>
        <w:top w:val="none" w:sz="0" w:space="0" w:color="auto"/>
        <w:left w:val="none" w:sz="0" w:space="0" w:color="auto"/>
        <w:bottom w:val="none" w:sz="0" w:space="0" w:color="auto"/>
        <w:right w:val="none" w:sz="0" w:space="0" w:color="auto"/>
      </w:divBdr>
    </w:div>
    <w:div w:id="1898972917">
      <w:bodyDiv w:val="1"/>
      <w:marLeft w:val="0"/>
      <w:marRight w:val="0"/>
      <w:marTop w:val="0"/>
      <w:marBottom w:val="0"/>
      <w:divBdr>
        <w:top w:val="none" w:sz="0" w:space="0" w:color="auto"/>
        <w:left w:val="none" w:sz="0" w:space="0" w:color="auto"/>
        <w:bottom w:val="none" w:sz="0" w:space="0" w:color="auto"/>
        <w:right w:val="none" w:sz="0" w:space="0" w:color="auto"/>
      </w:divBdr>
    </w:div>
    <w:div w:id="1918786752">
      <w:bodyDiv w:val="1"/>
      <w:marLeft w:val="0"/>
      <w:marRight w:val="0"/>
      <w:marTop w:val="0"/>
      <w:marBottom w:val="0"/>
      <w:divBdr>
        <w:top w:val="none" w:sz="0" w:space="0" w:color="auto"/>
        <w:left w:val="none" w:sz="0" w:space="0" w:color="auto"/>
        <w:bottom w:val="none" w:sz="0" w:space="0" w:color="auto"/>
        <w:right w:val="none" w:sz="0" w:space="0" w:color="auto"/>
      </w:divBdr>
    </w:div>
    <w:div w:id="1920208454">
      <w:bodyDiv w:val="1"/>
      <w:marLeft w:val="0"/>
      <w:marRight w:val="0"/>
      <w:marTop w:val="0"/>
      <w:marBottom w:val="0"/>
      <w:divBdr>
        <w:top w:val="none" w:sz="0" w:space="0" w:color="auto"/>
        <w:left w:val="none" w:sz="0" w:space="0" w:color="auto"/>
        <w:bottom w:val="none" w:sz="0" w:space="0" w:color="auto"/>
        <w:right w:val="none" w:sz="0" w:space="0" w:color="auto"/>
      </w:divBdr>
    </w:div>
    <w:div w:id="1933736646">
      <w:bodyDiv w:val="1"/>
      <w:marLeft w:val="0"/>
      <w:marRight w:val="0"/>
      <w:marTop w:val="0"/>
      <w:marBottom w:val="0"/>
      <w:divBdr>
        <w:top w:val="none" w:sz="0" w:space="0" w:color="auto"/>
        <w:left w:val="none" w:sz="0" w:space="0" w:color="auto"/>
        <w:bottom w:val="none" w:sz="0" w:space="0" w:color="auto"/>
        <w:right w:val="none" w:sz="0" w:space="0" w:color="auto"/>
      </w:divBdr>
    </w:div>
    <w:div w:id="1955861615">
      <w:bodyDiv w:val="1"/>
      <w:marLeft w:val="0"/>
      <w:marRight w:val="0"/>
      <w:marTop w:val="0"/>
      <w:marBottom w:val="0"/>
      <w:divBdr>
        <w:top w:val="none" w:sz="0" w:space="0" w:color="auto"/>
        <w:left w:val="none" w:sz="0" w:space="0" w:color="auto"/>
        <w:bottom w:val="none" w:sz="0" w:space="0" w:color="auto"/>
        <w:right w:val="none" w:sz="0" w:space="0" w:color="auto"/>
      </w:divBdr>
    </w:div>
    <w:div w:id="2014333494">
      <w:bodyDiv w:val="1"/>
      <w:marLeft w:val="0"/>
      <w:marRight w:val="0"/>
      <w:marTop w:val="0"/>
      <w:marBottom w:val="0"/>
      <w:divBdr>
        <w:top w:val="none" w:sz="0" w:space="0" w:color="auto"/>
        <w:left w:val="none" w:sz="0" w:space="0" w:color="auto"/>
        <w:bottom w:val="none" w:sz="0" w:space="0" w:color="auto"/>
        <w:right w:val="none" w:sz="0" w:space="0" w:color="auto"/>
      </w:divBdr>
    </w:div>
    <w:div w:id="2019308451">
      <w:bodyDiv w:val="1"/>
      <w:marLeft w:val="0"/>
      <w:marRight w:val="0"/>
      <w:marTop w:val="0"/>
      <w:marBottom w:val="0"/>
      <w:divBdr>
        <w:top w:val="none" w:sz="0" w:space="0" w:color="auto"/>
        <w:left w:val="none" w:sz="0" w:space="0" w:color="auto"/>
        <w:bottom w:val="none" w:sz="0" w:space="0" w:color="auto"/>
        <w:right w:val="none" w:sz="0" w:space="0" w:color="auto"/>
      </w:divBdr>
    </w:div>
    <w:div w:id="2023237451">
      <w:bodyDiv w:val="1"/>
      <w:marLeft w:val="0"/>
      <w:marRight w:val="0"/>
      <w:marTop w:val="0"/>
      <w:marBottom w:val="0"/>
      <w:divBdr>
        <w:top w:val="none" w:sz="0" w:space="0" w:color="auto"/>
        <w:left w:val="none" w:sz="0" w:space="0" w:color="auto"/>
        <w:bottom w:val="none" w:sz="0" w:space="0" w:color="auto"/>
        <w:right w:val="none" w:sz="0" w:space="0" w:color="auto"/>
      </w:divBdr>
    </w:div>
    <w:div w:id="2047678632">
      <w:bodyDiv w:val="1"/>
      <w:marLeft w:val="0"/>
      <w:marRight w:val="0"/>
      <w:marTop w:val="0"/>
      <w:marBottom w:val="0"/>
      <w:divBdr>
        <w:top w:val="none" w:sz="0" w:space="0" w:color="auto"/>
        <w:left w:val="none" w:sz="0" w:space="0" w:color="auto"/>
        <w:bottom w:val="none" w:sz="0" w:space="0" w:color="auto"/>
        <w:right w:val="none" w:sz="0" w:space="0" w:color="auto"/>
      </w:divBdr>
    </w:div>
    <w:div w:id="2047949409">
      <w:bodyDiv w:val="1"/>
      <w:marLeft w:val="0"/>
      <w:marRight w:val="0"/>
      <w:marTop w:val="0"/>
      <w:marBottom w:val="0"/>
      <w:divBdr>
        <w:top w:val="none" w:sz="0" w:space="0" w:color="auto"/>
        <w:left w:val="none" w:sz="0" w:space="0" w:color="auto"/>
        <w:bottom w:val="none" w:sz="0" w:space="0" w:color="auto"/>
        <w:right w:val="none" w:sz="0" w:space="0" w:color="auto"/>
      </w:divBdr>
    </w:div>
    <w:div w:id="2069301720">
      <w:bodyDiv w:val="1"/>
      <w:marLeft w:val="0"/>
      <w:marRight w:val="0"/>
      <w:marTop w:val="0"/>
      <w:marBottom w:val="0"/>
      <w:divBdr>
        <w:top w:val="none" w:sz="0" w:space="0" w:color="auto"/>
        <w:left w:val="none" w:sz="0" w:space="0" w:color="auto"/>
        <w:bottom w:val="none" w:sz="0" w:space="0" w:color="auto"/>
        <w:right w:val="none" w:sz="0" w:space="0" w:color="auto"/>
      </w:divBdr>
    </w:div>
    <w:div w:id="2070954087">
      <w:bodyDiv w:val="1"/>
      <w:marLeft w:val="0"/>
      <w:marRight w:val="0"/>
      <w:marTop w:val="0"/>
      <w:marBottom w:val="0"/>
      <w:divBdr>
        <w:top w:val="none" w:sz="0" w:space="0" w:color="auto"/>
        <w:left w:val="none" w:sz="0" w:space="0" w:color="auto"/>
        <w:bottom w:val="none" w:sz="0" w:space="0" w:color="auto"/>
        <w:right w:val="none" w:sz="0" w:space="0" w:color="auto"/>
      </w:divBdr>
    </w:div>
    <w:div w:id="2075159207">
      <w:bodyDiv w:val="1"/>
      <w:marLeft w:val="0"/>
      <w:marRight w:val="0"/>
      <w:marTop w:val="0"/>
      <w:marBottom w:val="0"/>
      <w:divBdr>
        <w:top w:val="none" w:sz="0" w:space="0" w:color="auto"/>
        <w:left w:val="none" w:sz="0" w:space="0" w:color="auto"/>
        <w:bottom w:val="none" w:sz="0" w:space="0" w:color="auto"/>
        <w:right w:val="none" w:sz="0" w:space="0" w:color="auto"/>
      </w:divBdr>
    </w:div>
    <w:div w:id="2080865604">
      <w:bodyDiv w:val="1"/>
      <w:marLeft w:val="0"/>
      <w:marRight w:val="0"/>
      <w:marTop w:val="0"/>
      <w:marBottom w:val="0"/>
      <w:divBdr>
        <w:top w:val="none" w:sz="0" w:space="0" w:color="auto"/>
        <w:left w:val="none" w:sz="0" w:space="0" w:color="auto"/>
        <w:bottom w:val="none" w:sz="0" w:space="0" w:color="auto"/>
        <w:right w:val="none" w:sz="0" w:space="0" w:color="auto"/>
      </w:divBdr>
    </w:div>
    <w:div w:id="2084137322">
      <w:bodyDiv w:val="1"/>
      <w:marLeft w:val="0"/>
      <w:marRight w:val="0"/>
      <w:marTop w:val="0"/>
      <w:marBottom w:val="0"/>
      <w:divBdr>
        <w:top w:val="none" w:sz="0" w:space="0" w:color="auto"/>
        <w:left w:val="none" w:sz="0" w:space="0" w:color="auto"/>
        <w:bottom w:val="none" w:sz="0" w:space="0" w:color="auto"/>
        <w:right w:val="none" w:sz="0" w:space="0" w:color="auto"/>
      </w:divBdr>
    </w:div>
    <w:div w:id="210268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4.jpg@01D774DB.7B5FBA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DB9FE-673D-47F0-9803-63535E29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7029</Words>
  <Characters>40066</Characters>
  <Application>Microsoft Office Word</Application>
  <DocSecurity>4</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Deepak Aher (BNS Mumbai)</dc:creator>
  <cp:lastModifiedBy>Deshmukh, Nauman</cp:lastModifiedBy>
  <cp:revision>2</cp:revision>
  <cp:lastPrinted>2018-06-28T13:33:00Z</cp:lastPrinted>
  <dcterms:created xsi:type="dcterms:W3CDTF">2021-07-12T07:07:00Z</dcterms:created>
  <dcterms:modified xsi:type="dcterms:W3CDTF">2021-07-12T07:07:00Z</dcterms:modified>
</cp:coreProperties>
</file>